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19"/>
        </w:rPr>
      </w:pPr>
    </w:p>
    <w:p>
      <w:pPr>
        <w:jc w:val="center"/>
        <w:rPr>
          <w:b/>
          <w:color w:val="auto"/>
          <w:sz w:val="52"/>
        </w:rPr>
      </w:pPr>
      <w:r>
        <w:rPr>
          <w:rFonts w:hint="eastAsia"/>
          <w:b/>
          <w:color w:val="auto"/>
          <w:sz w:val="52"/>
          <w:lang w:eastAsia="zh-CN"/>
        </w:rPr>
        <w:t>岳阳市南湖新区渔场道路工程</w:t>
      </w:r>
      <w:r>
        <w:rPr>
          <w:rFonts w:hint="eastAsia"/>
          <w:b/>
          <w:color w:val="auto"/>
          <w:sz w:val="52"/>
        </w:rPr>
        <w:t>设计施工总承包（EPC）项目</w:t>
      </w:r>
    </w:p>
    <w:p>
      <w:pPr>
        <w:pStyle w:val="8"/>
        <w:rPr>
          <w:rFonts w:hint="eastAsia" w:ascii="黑体" w:eastAsia="宋体"/>
          <w:color w:val="auto"/>
          <w:sz w:val="52"/>
          <w:lang w:eastAsia="zh-CN"/>
        </w:rPr>
      </w:pPr>
    </w:p>
    <w:p>
      <w:pPr>
        <w:pStyle w:val="8"/>
        <w:rPr>
          <w:rFonts w:ascii="黑体"/>
          <w:color w:val="auto"/>
          <w:sz w:val="52"/>
        </w:rPr>
      </w:pPr>
    </w:p>
    <w:p>
      <w:pPr>
        <w:pStyle w:val="8"/>
        <w:rPr>
          <w:rFonts w:ascii="黑体"/>
          <w:color w:val="auto"/>
          <w:sz w:val="52"/>
        </w:rPr>
      </w:pPr>
    </w:p>
    <w:p>
      <w:pPr>
        <w:pStyle w:val="8"/>
        <w:spacing w:before="9"/>
        <w:rPr>
          <w:rFonts w:ascii="黑体"/>
          <w:color w:val="auto"/>
          <w:sz w:val="62"/>
        </w:rPr>
      </w:pPr>
    </w:p>
    <w:p>
      <w:pPr>
        <w:pStyle w:val="35"/>
        <w:tabs>
          <w:tab w:val="left" w:pos="2122"/>
          <w:tab w:val="left" w:pos="4222"/>
          <w:tab w:val="left" w:pos="6322"/>
        </w:tabs>
        <w:ind w:left="21" w:right="0"/>
        <w:rPr>
          <w:color w:val="auto"/>
        </w:rPr>
      </w:pPr>
      <w:r>
        <w:rPr>
          <w:color w:val="auto"/>
        </w:rPr>
        <w:t>招</w:t>
      </w:r>
      <w:r>
        <w:rPr>
          <w:color w:val="auto"/>
        </w:rPr>
        <w:tab/>
      </w:r>
      <w:r>
        <w:rPr>
          <w:color w:val="auto"/>
        </w:rPr>
        <w:t>标</w:t>
      </w:r>
      <w:r>
        <w:rPr>
          <w:color w:val="auto"/>
        </w:rPr>
        <w:tab/>
      </w:r>
      <w:r>
        <w:rPr>
          <w:color w:val="auto"/>
        </w:rPr>
        <w:t>文</w:t>
      </w:r>
      <w:r>
        <w:rPr>
          <w:color w:val="auto"/>
        </w:rPr>
        <w:tab/>
      </w:r>
      <w:r>
        <w:rPr>
          <w:color w:val="auto"/>
        </w:rPr>
        <w:t>件</w:t>
      </w:r>
    </w:p>
    <w:p>
      <w:pPr>
        <w:pStyle w:val="8"/>
        <w:rPr>
          <w:color w:val="auto"/>
          <w:sz w:val="86"/>
        </w:rPr>
      </w:pPr>
    </w:p>
    <w:p>
      <w:pPr>
        <w:pStyle w:val="8"/>
        <w:rPr>
          <w:color w:val="auto"/>
          <w:sz w:val="86"/>
        </w:rPr>
      </w:pPr>
    </w:p>
    <w:p>
      <w:pPr>
        <w:pStyle w:val="8"/>
        <w:spacing w:before="6"/>
        <w:rPr>
          <w:color w:val="auto"/>
          <w:sz w:val="102"/>
        </w:rPr>
      </w:pPr>
    </w:p>
    <w:p>
      <w:pPr>
        <w:pStyle w:val="37"/>
        <w:ind w:left="903"/>
        <w:rPr>
          <w:color w:val="auto"/>
        </w:rPr>
      </w:pPr>
      <w:r>
        <w:rPr>
          <w:color w:val="auto"/>
        </w:rPr>
        <w:t>招标编号：</w:t>
      </w:r>
      <w:r>
        <w:rPr>
          <w:rFonts w:hint="eastAsia"/>
          <w:color w:val="auto"/>
        </w:rPr>
        <w:t xml:space="preserve"> </w:t>
      </w:r>
      <w:r>
        <w:rPr>
          <w:color w:val="auto"/>
        </w:rPr>
        <w:fldChar w:fldCharType="begin"/>
      </w:r>
      <w:r>
        <w:rPr>
          <w:color w:val="auto"/>
        </w:rPr>
        <w:instrText xml:space="preserve"> HYPERLINK "http://www.keypower8888.com/system/XMshow1.asp?ID=4338&amp;fxmtype=1" </w:instrText>
      </w:r>
      <w:r>
        <w:rPr>
          <w:color w:val="auto"/>
        </w:rPr>
        <w:fldChar w:fldCharType="separate"/>
      </w:r>
      <w:r>
        <w:rPr>
          <w:rStyle w:val="26"/>
          <w:rFonts w:hint="eastAsia"/>
          <w:color w:val="auto"/>
          <w:u w:val="none"/>
        </w:rPr>
        <w:t>湘智招字[2020]第0383号</w:t>
      </w:r>
      <w:r>
        <w:rPr>
          <w:rStyle w:val="26"/>
          <w:rFonts w:hint="eastAsia"/>
          <w:color w:val="auto"/>
          <w:u w:val="none"/>
        </w:rPr>
        <w:fldChar w:fldCharType="end"/>
      </w:r>
      <w:r>
        <w:rPr>
          <w:color w:val="auto"/>
        </w:rPr>
        <w:t xml:space="preserve"> </w:t>
      </w:r>
    </w:p>
    <w:p>
      <w:pPr>
        <w:pStyle w:val="8"/>
        <w:spacing w:before="10"/>
        <w:rPr>
          <w:b/>
          <w:color w:val="auto"/>
          <w:sz w:val="32"/>
        </w:rPr>
      </w:pPr>
    </w:p>
    <w:p>
      <w:pPr>
        <w:spacing w:before="1"/>
        <w:ind w:left="903"/>
        <w:rPr>
          <w:rFonts w:hint="default" w:eastAsia="宋体"/>
          <w:b/>
          <w:color w:val="auto"/>
          <w:sz w:val="32"/>
          <w:lang w:eastAsia="zh-CN"/>
        </w:rPr>
      </w:pPr>
      <w:r>
        <w:rPr>
          <w:b/>
          <w:color w:val="auto"/>
          <w:sz w:val="32"/>
        </w:rPr>
        <w:t>招 标 人：</w:t>
      </w:r>
      <w:r>
        <w:rPr>
          <w:rFonts w:hint="default"/>
          <w:b/>
          <w:color w:val="auto"/>
          <w:sz w:val="32"/>
          <w:lang w:eastAsia="zh-CN"/>
        </w:rPr>
        <w:t>岳阳南湖天著置业有限公司</w:t>
      </w:r>
    </w:p>
    <w:p>
      <w:pPr>
        <w:pStyle w:val="8"/>
        <w:spacing w:before="3"/>
        <w:rPr>
          <w:b/>
          <w:color w:val="auto"/>
          <w:sz w:val="33"/>
        </w:rPr>
      </w:pPr>
    </w:p>
    <w:p>
      <w:pPr>
        <w:ind w:left="903"/>
        <w:rPr>
          <w:b/>
          <w:color w:val="auto"/>
          <w:sz w:val="32"/>
        </w:rPr>
      </w:pPr>
      <w:r>
        <w:rPr>
          <w:b/>
          <w:color w:val="auto"/>
          <w:sz w:val="32"/>
        </w:rPr>
        <w:t>招标代理：智埔国际工程咨询有限公司</w:t>
      </w:r>
    </w:p>
    <w:p>
      <w:pPr>
        <w:pStyle w:val="8"/>
        <w:rPr>
          <w:b/>
          <w:color w:val="auto"/>
          <w:sz w:val="32"/>
        </w:rPr>
      </w:pPr>
    </w:p>
    <w:p>
      <w:pPr>
        <w:pStyle w:val="8"/>
        <w:rPr>
          <w:b/>
          <w:color w:val="auto"/>
          <w:sz w:val="33"/>
        </w:rPr>
      </w:pPr>
    </w:p>
    <w:p>
      <w:pPr>
        <w:ind w:left="21" w:right="187"/>
        <w:jc w:val="center"/>
        <w:rPr>
          <w:b/>
          <w:color w:val="auto"/>
          <w:sz w:val="32"/>
        </w:rPr>
      </w:pPr>
      <w:r>
        <w:rPr>
          <w:b/>
          <w:color w:val="auto"/>
          <w:sz w:val="32"/>
        </w:rPr>
        <w:t>二○二○年</w:t>
      </w:r>
      <w:r>
        <w:rPr>
          <w:rFonts w:hint="eastAsia"/>
          <w:b/>
          <w:color w:val="auto"/>
          <w:sz w:val="32"/>
          <w:lang w:eastAsia="zh-CN"/>
        </w:rPr>
        <w:t>十二</w:t>
      </w:r>
      <w:r>
        <w:rPr>
          <w:b/>
          <w:color w:val="auto"/>
          <w:sz w:val="32"/>
        </w:rPr>
        <w:t>月</w:t>
      </w:r>
      <w:r>
        <w:rPr>
          <w:b/>
          <w:color w:val="auto"/>
          <w:w w:val="98"/>
          <w:sz w:val="32"/>
        </w:rPr>
        <w:t xml:space="preserve"> </w:t>
      </w:r>
    </w:p>
    <w:p>
      <w:pPr>
        <w:jc w:val="center"/>
        <w:rPr>
          <w:color w:val="auto"/>
          <w:sz w:val="32"/>
        </w:rPr>
        <w:sectPr>
          <w:pgSz w:w="11910" w:h="16840"/>
          <w:pgMar w:top="1580" w:right="1200" w:bottom="280" w:left="1180" w:header="720" w:footer="720" w:gutter="0"/>
          <w:cols w:space="720" w:num="1"/>
        </w:sectPr>
      </w:pPr>
    </w:p>
    <w:p>
      <w:pPr>
        <w:tabs>
          <w:tab w:val="left" w:pos="749"/>
        </w:tabs>
        <w:spacing w:before="23"/>
        <w:ind w:left="26"/>
        <w:jc w:val="center"/>
        <w:rPr>
          <w:rFonts w:ascii="黑体" w:eastAsia="黑体"/>
          <w:color w:val="auto"/>
          <w:sz w:val="36"/>
        </w:rPr>
      </w:pPr>
      <w:r>
        <w:rPr>
          <w:rFonts w:hint="eastAsia" w:ascii="黑体" w:eastAsia="黑体"/>
          <w:color w:val="auto"/>
          <w:sz w:val="36"/>
        </w:rPr>
        <w:t>目</w:t>
      </w:r>
      <w:r>
        <w:rPr>
          <w:rFonts w:hint="eastAsia" w:ascii="黑体" w:eastAsia="黑体"/>
          <w:color w:val="auto"/>
          <w:sz w:val="36"/>
        </w:rPr>
        <w:tab/>
      </w:r>
      <w:r>
        <w:rPr>
          <w:rFonts w:hint="eastAsia" w:ascii="黑体" w:eastAsia="黑体"/>
          <w:color w:val="auto"/>
          <w:sz w:val="36"/>
        </w:rPr>
        <w:t>录</w:t>
      </w:r>
    </w:p>
    <w:p>
      <w:pPr>
        <w:pStyle w:val="8"/>
        <w:spacing w:before="5"/>
        <w:rPr>
          <w:rFonts w:ascii="黑体"/>
          <w:color w:val="auto"/>
          <w:sz w:val="47"/>
        </w:rPr>
      </w:pPr>
    </w:p>
    <w:p>
      <w:pPr>
        <w:pStyle w:val="41"/>
        <w:tabs>
          <w:tab w:val="left" w:pos="1203"/>
        </w:tabs>
        <w:ind w:left="238" w:firstLine="0"/>
        <w:rPr>
          <w:rFonts w:ascii="黑体" w:eastAsia="黑体"/>
          <w:color w:val="auto"/>
        </w:rPr>
      </w:pPr>
      <w:r>
        <w:rPr>
          <w:color w:val="auto"/>
        </w:rPr>
        <w:fldChar w:fldCharType="begin"/>
      </w:r>
      <w:r>
        <w:rPr>
          <w:color w:val="auto"/>
        </w:rPr>
        <w:instrText xml:space="preserve"> HYPERLINK \l "_bookmark0" </w:instrText>
      </w:r>
      <w:r>
        <w:rPr>
          <w:color w:val="auto"/>
        </w:rPr>
        <w:fldChar w:fldCharType="separate"/>
      </w:r>
      <w:r>
        <w:rPr>
          <w:rFonts w:hint="eastAsia" w:ascii="黑体" w:eastAsia="黑体"/>
          <w:color w:val="auto"/>
        </w:rPr>
        <w:t>第一章</w:t>
      </w:r>
      <w:r>
        <w:rPr>
          <w:rFonts w:hint="eastAsia" w:ascii="黑体" w:eastAsia="黑体"/>
          <w:color w:val="auto"/>
        </w:rPr>
        <w:tab/>
      </w:r>
      <w:r>
        <w:rPr>
          <w:rFonts w:hint="eastAsia" w:ascii="黑体" w:eastAsia="黑体"/>
          <w:color w:val="auto"/>
        </w:rPr>
        <w:t>招标公告</w:t>
      </w:r>
      <w:r>
        <w:rPr>
          <w:rFonts w:hint="eastAsia" w:ascii="黑体" w:eastAsia="黑体"/>
          <w:color w:val="auto"/>
          <w:spacing w:val="-31"/>
        </w:rPr>
        <w:t xml:space="preserve"> </w:t>
      </w:r>
      <w:r>
        <w:rPr>
          <w:rFonts w:hint="eastAsia" w:ascii="黑体" w:eastAsia="黑体"/>
          <w:color w:val="auto"/>
        </w:rPr>
        <w:t>....................................................</w:t>
      </w:r>
      <w:r>
        <w:rPr>
          <w:rFonts w:hint="eastAsia" w:ascii="黑体" w:eastAsia="黑体"/>
          <w:color w:val="auto"/>
          <w:spacing w:val="-14"/>
        </w:rPr>
        <w:t xml:space="preserve"> </w:t>
      </w:r>
      <w:r>
        <w:rPr>
          <w:rFonts w:hint="eastAsia" w:ascii="黑体" w:eastAsia="黑体"/>
          <w:color w:val="auto"/>
        </w:rPr>
        <w:t>-</w:t>
      </w:r>
      <w:r>
        <w:rPr>
          <w:rFonts w:hint="eastAsia" w:ascii="黑体" w:eastAsia="黑体"/>
          <w:color w:val="auto"/>
          <w:spacing w:val="16"/>
        </w:rPr>
        <w:t xml:space="preserve"> </w:t>
      </w:r>
      <w:r>
        <w:rPr>
          <w:rFonts w:hint="eastAsia" w:ascii="黑体" w:eastAsia="黑体"/>
          <w:color w:val="auto"/>
          <w:lang w:val="en-US"/>
        </w:rPr>
        <w:t>3</w:t>
      </w:r>
      <w:r>
        <w:rPr>
          <w:rFonts w:hint="eastAsia" w:ascii="黑体" w:eastAsia="黑体"/>
          <w:color w:val="auto"/>
          <w:spacing w:val="15"/>
        </w:rPr>
        <w:t xml:space="preserve"> </w:t>
      </w:r>
      <w:r>
        <w:rPr>
          <w:rFonts w:hint="eastAsia" w:ascii="黑体" w:eastAsia="黑体"/>
          <w:color w:val="auto"/>
        </w:rPr>
        <w:t>-</w:t>
      </w:r>
      <w:r>
        <w:rPr>
          <w:rFonts w:hint="eastAsia" w:ascii="黑体" w:eastAsia="黑体"/>
          <w:color w:val="auto"/>
        </w:rPr>
        <w:fldChar w:fldCharType="end"/>
      </w:r>
    </w:p>
    <w:p>
      <w:pPr>
        <w:pStyle w:val="8"/>
        <w:rPr>
          <w:rFonts w:ascii="黑体"/>
          <w:b/>
          <w:color w:val="auto"/>
          <w:sz w:val="24"/>
        </w:rPr>
      </w:pPr>
    </w:p>
    <w:p>
      <w:pPr>
        <w:tabs>
          <w:tab w:val="left" w:pos="1203"/>
        </w:tabs>
        <w:spacing w:before="162"/>
        <w:ind w:left="238"/>
        <w:rPr>
          <w:rFonts w:ascii="黑体" w:eastAsia="黑体"/>
          <w:b/>
          <w:color w:val="auto"/>
          <w:sz w:val="24"/>
        </w:rPr>
      </w:pPr>
      <w:r>
        <w:rPr>
          <w:color w:val="auto"/>
        </w:rPr>
        <w:fldChar w:fldCharType="begin"/>
      </w:r>
      <w:r>
        <w:rPr>
          <w:color w:val="auto"/>
        </w:rPr>
        <w:instrText xml:space="preserve"> HYPERLINK \l "_bookmark1" </w:instrText>
      </w:r>
      <w:r>
        <w:rPr>
          <w:color w:val="auto"/>
        </w:rPr>
        <w:fldChar w:fldCharType="separate"/>
      </w:r>
      <w:r>
        <w:rPr>
          <w:rFonts w:hint="eastAsia" w:ascii="黑体" w:eastAsia="黑体"/>
          <w:b/>
          <w:color w:val="auto"/>
          <w:sz w:val="24"/>
        </w:rPr>
        <w:t>第二章</w:t>
      </w:r>
      <w:r>
        <w:rPr>
          <w:rFonts w:hint="eastAsia" w:ascii="黑体" w:eastAsia="黑体"/>
          <w:b/>
          <w:color w:val="auto"/>
          <w:sz w:val="24"/>
        </w:rPr>
        <w:tab/>
      </w:r>
      <w:r>
        <w:rPr>
          <w:rFonts w:hint="eastAsia" w:ascii="黑体" w:eastAsia="黑体"/>
          <w:b/>
          <w:color w:val="auto"/>
          <w:sz w:val="24"/>
        </w:rPr>
        <w:t>投标人须知</w:t>
      </w:r>
      <w:r>
        <w:rPr>
          <w:rFonts w:hint="eastAsia" w:ascii="黑体" w:eastAsia="黑体"/>
          <w:b/>
          <w:color w:val="auto"/>
          <w:spacing w:val="-28"/>
          <w:sz w:val="24"/>
        </w:rPr>
        <w:t xml:space="preserve"> </w:t>
      </w:r>
      <w:r>
        <w:rPr>
          <w:rFonts w:hint="eastAsia" w:ascii="黑体" w:eastAsia="黑体"/>
          <w:b/>
          <w:color w:val="auto"/>
          <w:sz w:val="24"/>
        </w:rPr>
        <w:t>..................................................</w:t>
      </w:r>
      <w:r>
        <w:rPr>
          <w:rFonts w:hint="eastAsia" w:ascii="黑体" w:eastAsia="黑体"/>
          <w:b/>
          <w:color w:val="auto"/>
          <w:spacing w:val="-14"/>
          <w:sz w:val="24"/>
        </w:rPr>
        <w:t xml:space="preserve"> </w:t>
      </w:r>
      <w:r>
        <w:rPr>
          <w:rFonts w:hint="eastAsia" w:ascii="黑体" w:eastAsia="黑体"/>
          <w:b/>
          <w:color w:val="auto"/>
          <w:sz w:val="24"/>
        </w:rPr>
        <w:t>-</w:t>
      </w:r>
      <w:r>
        <w:rPr>
          <w:rFonts w:hint="eastAsia" w:ascii="黑体" w:eastAsia="黑体"/>
          <w:b/>
          <w:color w:val="auto"/>
          <w:spacing w:val="15"/>
          <w:sz w:val="24"/>
        </w:rPr>
        <w:t xml:space="preserve"> </w:t>
      </w:r>
      <w:r>
        <w:rPr>
          <w:rFonts w:hint="eastAsia" w:ascii="黑体" w:eastAsia="黑体"/>
          <w:b/>
          <w:color w:val="auto"/>
          <w:sz w:val="24"/>
          <w:lang w:val="en-US"/>
        </w:rPr>
        <w:t>7</w:t>
      </w:r>
      <w:r>
        <w:rPr>
          <w:rFonts w:hint="eastAsia" w:ascii="黑体" w:eastAsia="黑体"/>
          <w:b/>
          <w:color w:val="auto"/>
          <w:spacing w:val="15"/>
          <w:sz w:val="24"/>
        </w:rPr>
        <w:t xml:space="preserve"> </w:t>
      </w:r>
      <w:r>
        <w:rPr>
          <w:rFonts w:hint="eastAsia" w:ascii="黑体" w:eastAsia="黑体"/>
          <w:b/>
          <w:color w:val="auto"/>
          <w:sz w:val="24"/>
        </w:rPr>
        <w:t>-</w:t>
      </w:r>
      <w:r>
        <w:rPr>
          <w:rFonts w:hint="eastAsia" w:ascii="黑体" w:eastAsia="黑体"/>
          <w:b/>
          <w:color w:val="auto"/>
          <w:sz w:val="24"/>
        </w:rPr>
        <w:fldChar w:fldCharType="end"/>
      </w:r>
    </w:p>
    <w:p>
      <w:pPr>
        <w:pStyle w:val="8"/>
        <w:rPr>
          <w:rFonts w:ascii="黑体"/>
          <w:b/>
          <w:color w:val="auto"/>
          <w:sz w:val="24"/>
        </w:rPr>
      </w:pPr>
    </w:p>
    <w:p>
      <w:pPr>
        <w:tabs>
          <w:tab w:val="left" w:pos="1203"/>
        </w:tabs>
        <w:spacing w:before="163"/>
        <w:ind w:left="238"/>
        <w:rPr>
          <w:rFonts w:ascii="黑体" w:eastAsia="黑体"/>
          <w:b/>
          <w:color w:val="auto"/>
          <w:sz w:val="24"/>
        </w:rPr>
      </w:pPr>
      <w:r>
        <w:rPr>
          <w:color w:val="auto"/>
        </w:rPr>
        <w:fldChar w:fldCharType="begin"/>
      </w:r>
      <w:r>
        <w:rPr>
          <w:color w:val="auto"/>
        </w:rPr>
        <w:instrText xml:space="preserve"> HYPERLINK \l "_bookmark2" </w:instrText>
      </w:r>
      <w:r>
        <w:rPr>
          <w:color w:val="auto"/>
        </w:rPr>
        <w:fldChar w:fldCharType="separate"/>
      </w:r>
      <w:r>
        <w:rPr>
          <w:rFonts w:hint="eastAsia" w:ascii="黑体" w:eastAsia="黑体"/>
          <w:b/>
          <w:color w:val="auto"/>
          <w:sz w:val="24"/>
        </w:rPr>
        <w:t>第三章</w:t>
      </w:r>
      <w:r>
        <w:rPr>
          <w:rFonts w:hint="eastAsia" w:ascii="黑体" w:eastAsia="黑体"/>
          <w:b/>
          <w:color w:val="auto"/>
          <w:sz w:val="24"/>
        </w:rPr>
        <w:tab/>
      </w:r>
      <w:r>
        <w:rPr>
          <w:rFonts w:hint="eastAsia" w:ascii="黑体" w:eastAsia="黑体"/>
          <w:b/>
          <w:color w:val="auto"/>
          <w:sz w:val="24"/>
        </w:rPr>
        <w:t>评标办法（综合评估法）</w:t>
      </w:r>
      <w:r>
        <w:rPr>
          <w:rFonts w:hint="eastAsia" w:ascii="黑体" w:eastAsia="黑体"/>
          <w:b/>
          <w:color w:val="auto"/>
          <w:spacing w:val="-4"/>
          <w:sz w:val="24"/>
        </w:rPr>
        <w:t xml:space="preserve"> </w:t>
      </w:r>
      <w:r>
        <w:rPr>
          <w:rFonts w:hint="eastAsia" w:ascii="黑体" w:eastAsia="黑体"/>
          <w:b/>
          <w:color w:val="auto"/>
          <w:sz w:val="24"/>
        </w:rPr>
        <w:t>.....................................</w:t>
      </w:r>
      <w:r>
        <w:rPr>
          <w:rFonts w:hint="eastAsia" w:ascii="黑体" w:eastAsia="黑体"/>
          <w:b/>
          <w:color w:val="auto"/>
          <w:spacing w:val="-16"/>
          <w:sz w:val="24"/>
        </w:rPr>
        <w:t xml:space="preserve"> </w:t>
      </w:r>
      <w:r>
        <w:rPr>
          <w:rFonts w:hint="eastAsia" w:ascii="黑体" w:eastAsia="黑体"/>
          <w:b/>
          <w:color w:val="auto"/>
          <w:sz w:val="24"/>
        </w:rPr>
        <w:t>-</w:t>
      </w:r>
      <w:r>
        <w:rPr>
          <w:rFonts w:hint="eastAsia" w:ascii="黑体" w:eastAsia="黑体"/>
          <w:b/>
          <w:color w:val="auto"/>
          <w:spacing w:val="11"/>
          <w:sz w:val="24"/>
        </w:rPr>
        <w:t xml:space="preserve"> </w:t>
      </w:r>
      <w:r>
        <w:rPr>
          <w:rFonts w:hint="eastAsia" w:ascii="黑体" w:eastAsia="黑体"/>
          <w:b/>
          <w:color w:val="auto"/>
          <w:sz w:val="24"/>
        </w:rPr>
        <w:t>2</w:t>
      </w:r>
      <w:r>
        <w:rPr>
          <w:rFonts w:hint="eastAsia" w:ascii="黑体" w:eastAsia="黑体"/>
          <w:b/>
          <w:color w:val="auto"/>
          <w:sz w:val="24"/>
          <w:lang w:val="en-US"/>
        </w:rPr>
        <w:t>5</w:t>
      </w:r>
      <w:r>
        <w:rPr>
          <w:rFonts w:hint="eastAsia" w:ascii="黑体" w:eastAsia="黑体"/>
          <w:b/>
          <w:color w:val="auto"/>
          <w:spacing w:val="8"/>
          <w:sz w:val="24"/>
        </w:rPr>
        <w:t xml:space="preserve"> </w:t>
      </w:r>
      <w:r>
        <w:rPr>
          <w:rFonts w:hint="eastAsia" w:ascii="黑体" w:eastAsia="黑体"/>
          <w:b/>
          <w:color w:val="auto"/>
          <w:sz w:val="24"/>
        </w:rPr>
        <w:t>-</w:t>
      </w:r>
      <w:r>
        <w:rPr>
          <w:rFonts w:hint="eastAsia" w:ascii="黑体" w:eastAsia="黑体"/>
          <w:b/>
          <w:color w:val="auto"/>
          <w:sz w:val="24"/>
        </w:rPr>
        <w:fldChar w:fldCharType="end"/>
      </w:r>
    </w:p>
    <w:p>
      <w:pPr>
        <w:pStyle w:val="8"/>
        <w:rPr>
          <w:rFonts w:ascii="黑体"/>
          <w:b/>
          <w:color w:val="auto"/>
          <w:sz w:val="24"/>
        </w:rPr>
      </w:pPr>
    </w:p>
    <w:p>
      <w:pPr>
        <w:tabs>
          <w:tab w:val="left" w:pos="1203"/>
        </w:tabs>
        <w:spacing w:before="166"/>
        <w:ind w:left="238"/>
        <w:rPr>
          <w:rFonts w:ascii="黑体" w:eastAsia="黑体"/>
          <w:b/>
          <w:color w:val="auto"/>
          <w:sz w:val="24"/>
        </w:rPr>
      </w:pPr>
      <w:r>
        <w:rPr>
          <w:color w:val="auto"/>
        </w:rPr>
        <w:fldChar w:fldCharType="begin"/>
      </w:r>
      <w:r>
        <w:rPr>
          <w:color w:val="auto"/>
        </w:rPr>
        <w:instrText xml:space="preserve"> HYPERLINK \l "_bookmark3" </w:instrText>
      </w:r>
      <w:r>
        <w:rPr>
          <w:color w:val="auto"/>
        </w:rPr>
        <w:fldChar w:fldCharType="separate"/>
      </w:r>
      <w:r>
        <w:rPr>
          <w:rFonts w:hint="eastAsia" w:ascii="黑体" w:eastAsia="黑体"/>
          <w:b/>
          <w:color w:val="auto"/>
          <w:sz w:val="24"/>
        </w:rPr>
        <w:t>第四章</w:t>
      </w:r>
      <w:r>
        <w:rPr>
          <w:rFonts w:hint="eastAsia" w:ascii="黑体" w:eastAsia="黑体"/>
          <w:b/>
          <w:color w:val="auto"/>
          <w:sz w:val="24"/>
        </w:rPr>
        <w:tab/>
      </w:r>
      <w:r>
        <w:rPr>
          <w:rFonts w:hint="eastAsia" w:ascii="黑体" w:eastAsia="黑体"/>
          <w:b/>
          <w:color w:val="auto"/>
          <w:sz w:val="24"/>
        </w:rPr>
        <w:t>合同条款及格式</w:t>
      </w:r>
      <w:r>
        <w:rPr>
          <w:rFonts w:hint="eastAsia" w:ascii="黑体" w:eastAsia="黑体"/>
          <w:b/>
          <w:color w:val="auto"/>
          <w:spacing w:val="-19"/>
          <w:sz w:val="24"/>
        </w:rPr>
        <w:t xml:space="preserve"> </w:t>
      </w:r>
      <w:r>
        <w:rPr>
          <w:rFonts w:hint="eastAsia" w:ascii="黑体" w:eastAsia="黑体"/>
          <w:b/>
          <w:color w:val="auto"/>
          <w:sz w:val="24"/>
        </w:rPr>
        <w:t>.............................................</w:t>
      </w:r>
      <w:r>
        <w:rPr>
          <w:rFonts w:hint="eastAsia" w:ascii="黑体" w:eastAsia="黑体"/>
          <w:b/>
          <w:color w:val="auto"/>
          <w:spacing w:val="-12"/>
          <w:sz w:val="24"/>
        </w:rPr>
        <w:t xml:space="preserve"> </w:t>
      </w:r>
      <w:r>
        <w:rPr>
          <w:rFonts w:hint="eastAsia" w:ascii="黑体" w:eastAsia="黑体"/>
          <w:b/>
          <w:color w:val="auto"/>
          <w:sz w:val="24"/>
        </w:rPr>
        <w:t>-</w:t>
      </w:r>
      <w:r>
        <w:rPr>
          <w:rFonts w:hint="eastAsia" w:ascii="黑体" w:eastAsia="黑体"/>
          <w:b/>
          <w:color w:val="auto"/>
          <w:spacing w:val="13"/>
          <w:sz w:val="24"/>
        </w:rPr>
        <w:t xml:space="preserve"> </w:t>
      </w:r>
      <w:r>
        <w:rPr>
          <w:rFonts w:hint="eastAsia" w:ascii="黑体" w:eastAsia="黑体"/>
          <w:b/>
          <w:color w:val="auto"/>
          <w:sz w:val="24"/>
        </w:rPr>
        <w:t>4</w:t>
      </w:r>
      <w:r>
        <w:rPr>
          <w:rFonts w:hint="eastAsia" w:ascii="黑体" w:eastAsia="黑体"/>
          <w:b/>
          <w:color w:val="auto"/>
          <w:sz w:val="24"/>
          <w:lang w:val="en-US"/>
        </w:rPr>
        <w:t>7</w:t>
      </w:r>
      <w:r>
        <w:rPr>
          <w:rFonts w:hint="eastAsia" w:ascii="黑体" w:eastAsia="黑体"/>
          <w:b/>
          <w:color w:val="auto"/>
          <w:sz w:val="24"/>
        </w:rPr>
        <w:t>-</w:t>
      </w:r>
      <w:r>
        <w:rPr>
          <w:rFonts w:hint="eastAsia" w:ascii="黑体" w:eastAsia="黑体"/>
          <w:b/>
          <w:color w:val="auto"/>
          <w:sz w:val="24"/>
        </w:rPr>
        <w:fldChar w:fldCharType="end"/>
      </w:r>
    </w:p>
    <w:p>
      <w:pPr>
        <w:pStyle w:val="8"/>
        <w:rPr>
          <w:rFonts w:ascii="黑体"/>
          <w:b/>
          <w:color w:val="auto"/>
          <w:sz w:val="24"/>
        </w:rPr>
      </w:pPr>
    </w:p>
    <w:p>
      <w:pPr>
        <w:tabs>
          <w:tab w:val="left" w:pos="1203"/>
        </w:tabs>
        <w:spacing w:before="162"/>
        <w:ind w:left="238"/>
        <w:rPr>
          <w:rFonts w:ascii="黑体" w:eastAsia="黑体"/>
          <w:b/>
          <w:color w:val="auto"/>
          <w:sz w:val="24"/>
        </w:rPr>
      </w:pPr>
      <w:r>
        <w:rPr>
          <w:color w:val="auto"/>
        </w:rPr>
        <w:fldChar w:fldCharType="begin"/>
      </w:r>
      <w:r>
        <w:rPr>
          <w:color w:val="auto"/>
        </w:rPr>
        <w:instrText xml:space="preserve"> HYPERLINK \l "_bookmark4" </w:instrText>
      </w:r>
      <w:r>
        <w:rPr>
          <w:color w:val="auto"/>
        </w:rPr>
        <w:fldChar w:fldCharType="separate"/>
      </w:r>
      <w:r>
        <w:rPr>
          <w:rFonts w:hint="eastAsia" w:ascii="黑体" w:eastAsia="黑体"/>
          <w:b/>
          <w:color w:val="auto"/>
          <w:sz w:val="24"/>
        </w:rPr>
        <w:t>第五章</w:t>
      </w:r>
      <w:r>
        <w:rPr>
          <w:rFonts w:hint="eastAsia" w:ascii="黑体" w:eastAsia="黑体"/>
          <w:b/>
          <w:color w:val="auto"/>
          <w:sz w:val="24"/>
        </w:rPr>
        <w:tab/>
      </w:r>
      <w:r>
        <w:rPr>
          <w:rFonts w:hint="eastAsia" w:ascii="黑体" w:eastAsia="黑体"/>
          <w:b/>
          <w:color w:val="auto"/>
          <w:sz w:val="24"/>
        </w:rPr>
        <w:t>发包人要求</w:t>
      </w:r>
      <w:r>
        <w:rPr>
          <w:rFonts w:hint="eastAsia" w:ascii="黑体" w:eastAsia="黑体"/>
          <w:b/>
          <w:color w:val="auto"/>
          <w:spacing w:val="-28"/>
          <w:sz w:val="24"/>
        </w:rPr>
        <w:t xml:space="preserve"> </w:t>
      </w:r>
      <w:r>
        <w:rPr>
          <w:rFonts w:hint="eastAsia" w:ascii="黑体" w:eastAsia="黑体"/>
          <w:b/>
          <w:color w:val="auto"/>
          <w:sz w:val="24"/>
        </w:rPr>
        <w:t>................................................</w:t>
      </w:r>
      <w:r>
        <w:rPr>
          <w:rFonts w:hint="eastAsia" w:ascii="黑体" w:eastAsia="黑体"/>
          <w:b/>
          <w:color w:val="auto"/>
          <w:spacing w:val="-12"/>
          <w:sz w:val="24"/>
        </w:rPr>
        <w:t xml:space="preserve"> </w:t>
      </w:r>
      <w:r>
        <w:rPr>
          <w:rFonts w:hint="eastAsia" w:ascii="黑体" w:eastAsia="黑体"/>
          <w:b/>
          <w:color w:val="auto"/>
          <w:sz w:val="24"/>
        </w:rPr>
        <w:t>-</w:t>
      </w:r>
      <w:r>
        <w:rPr>
          <w:rFonts w:hint="eastAsia" w:ascii="黑体" w:eastAsia="黑体"/>
          <w:b/>
          <w:color w:val="auto"/>
          <w:spacing w:val="15"/>
          <w:sz w:val="24"/>
        </w:rPr>
        <w:t xml:space="preserve"> </w:t>
      </w:r>
      <w:r>
        <w:rPr>
          <w:rFonts w:hint="eastAsia" w:ascii="黑体" w:eastAsia="黑体"/>
          <w:b/>
          <w:color w:val="auto"/>
          <w:sz w:val="24"/>
        </w:rPr>
        <w:t>10</w:t>
      </w:r>
      <w:r>
        <w:rPr>
          <w:rFonts w:hint="eastAsia" w:ascii="黑体" w:eastAsia="黑体"/>
          <w:b/>
          <w:color w:val="auto"/>
          <w:sz w:val="24"/>
          <w:lang w:val="en-US"/>
        </w:rPr>
        <w:t>8</w:t>
      </w:r>
      <w:r>
        <w:rPr>
          <w:rFonts w:hint="eastAsia" w:ascii="黑体" w:eastAsia="黑体"/>
          <w:b/>
          <w:color w:val="auto"/>
          <w:spacing w:val="14"/>
          <w:sz w:val="24"/>
        </w:rPr>
        <w:t xml:space="preserve"> </w:t>
      </w:r>
      <w:r>
        <w:rPr>
          <w:rFonts w:hint="eastAsia" w:ascii="黑体" w:eastAsia="黑体"/>
          <w:b/>
          <w:color w:val="auto"/>
          <w:sz w:val="24"/>
        </w:rPr>
        <w:t>-</w:t>
      </w:r>
      <w:r>
        <w:rPr>
          <w:rFonts w:hint="eastAsia" w:ascii="黑体" w:eastAsia="黑体"/>
          <w:b/>
          <w:color w:val="auto"/>
          <w:sz w:val="24"/>
        </w:rPr>
        <w:fldChar w:fldCharType="end"/>
      </w:r>
    </w:p>
    <w:p>
      <w:pPr>
        <w:pStyle w:val="8"/>
        <w:rPr>
          <w:rFonts w:ascii="黑体"/>
          <w:b/>
          <w:color w:val="auto"/>
          <w:sz w:val="24"/>
        </w:rPr>
      </w:pPr>
    </w:p>
    <w:p>
      <w:pPr>
        <w:spacing w:before="163"/>
        <w:ind w:left="238"/>
        <w:rPr>
          <w:rFonts w:ascii="黑体" w:eastAsia="黑体"/>
          <w:b/>
          <w:color w:val="auto"/>
          <w:sz w:val="24"/>
        </w:rPr>
      </w:pPr>
      <w:r>
        <w:rPr>
          <w:color w:val="auto"/>
        </w:rPr>
        <w:fldChar w:fldCharType="begin"/>
      </w:r>
      <w:r>
        <w:rPr>
          <w:color w:val="auto"/>
        </w:rPr>
        <w:instrText xml:space="preserve"> HYPERLINK \l "_bookmark5" </w:instrText>
      </w:r>
      <w:r>
        <w:rPr>
          <w:color w:val="auto"/>
        </w:rPr>
        <w:fldChar w:fldCharType="separate"/>
      </w:r>
      <w:r>
        <w:rPr>
          <w:rFonts w:hint="eastAsia" w:ascii="黑体" w:eastAsia="黑体"/>
          <w:b/>
          <w:color w:val="auto"/>
          <w:spacing w:val="-2"/>
          <w:sz w:val="24"/>
        </w:rPr>
        <w:t xml:space="preserve">第六章、发包人提供的资料 .......................................... - </w:t>
      </w:r>
      <w:r>
        <w:rPr>
          <w:rFonts w:hint="eastAsia" w:ascii="黑体" w:eastAsia="黑体"/>
          <w:b/>
          <w:color w:val="auto"/>
          <w:sz w:val="24"/>
        </w:rPr>
        <w:t>11</w:t>
      </w:r>
      <w:r>
        <w:rPr>
          <w:rFonts w:hint="eastAsia" w:ascii="黑体" w:eastAsia="黑体"/>
          <w:b/>
          <w:color w:val="auto"/>
          <w:sz w:val="24"/>
          <w:lang w:val="en-US"/>
        </w:rPr>
        <w:t>1</w:t>
      </w:r>
      <w:r>
        <w:rPr>
          <w:rFonts w:hint="eastAsia" w:ascii="黑体" w:eastAsia="黑体"/>
          <w:b/>
          <w:color w:val="auto"/>
          <w:spacing w:val="6"/>
          <w:sz w:val="24"/>
        </w:rPr>
        <w:t xml:space="preserve"> -</w:t>
      </w:r>
      <w:r>
        <w:rPr>
          <w:rFonts w:hint="eastAsia" w:ascii="黑体" w:eastAsia="黑体"/>
          <w:b/>
          <w:color w:val="auto"/>
          <w:spacing w:val="6"/>
          <w:sz w:val="24"/>
        </w:rPr>
        <w:fldChar w:fldCharType="end"/>
      </w:r>
    </w:p>
    <w:p>
      <w:pPr>
        <w:pStyle w:val="8"/>
        <w:rPr>
          <w:rFonts w:ascii="黑体"/>
          <w:b/>
          <w:color w:val="auto"/>
          <w:sz w:val="24"/>
        </w:rPr>
      </w:pPr>
    </w:p>
    <w:p>
      <w:pPr>
        <w:spacing w:before="162"/>
        <w:ind w:left="238"/>
        <w:rPr>
          <w:rFonts w:ascii="黑体" w:eastAsia="黑体"/>
          <w:b/>
          <w:color w:val="auto"/>
          <w:sz w:val="24"/>
        </w:rPr>
      </w:pPr>
      <w:r>
        <w:rPr>
          <w:color w:val="auto"/>
        </w:rPr>
        <w:fldChar w:fldCharType="begin"/>
      </w:r>
      <w:r>
        <w:rPr>
          <w:color w:val="auto"/>
        </w:rPr>
        <w:instrText xml:space="preserve"> HYPERLINK \l "_bookmark6" </w:instrText>
      </w:r>
      <w:r>
        <w:rPr>
          <w:color w:val="auto"/>
        </w:rPr>
        <w:fldChar w:fldCharType="separate"/>
      </w:r>
      <w:r>
        <w:rPr>
          <w:rFonts w:hint="eastAsia" w:ascii="黑体" w:eastAsia="黑体"/>
          <w:b/>
          <w:color w:val="auto"/>
          <w:spacing w:val="-2"/>
          <w:sz w:val="24"/>
        </w:rPr>
        <w:t xml:space="preserve">第七章、投标文件格式 .............................................. - </w:t>
      </w:r>
      <w:r>
        <w:rPr>
          <w:rFonts w:hint="eastAsia" w:ascii="黑体" w:eastAsia="黑体"/>
          <w:b/>
          <w:color w:val="auto"/>
          <w:sz w:val="24"/>
        </w:rPr>
        <w:t>11</w:t>
      </w:r>
      <w:r>
        <w:rPr>
          <w:rFonts w:hint="eastAsia" w:ascii="黑体" w:eastAsia="黑体"/>
          <w:b/>
          <w:color w:val="auto"/>
          <w:sz w:val="24"/>
          <w:lang w:val="en-US"/>
        </w:rPr>
        <w:t>2</w:t>
      </w:r>
      <w:r>
        <w:rPr>
          <w:rFonts w:hint="eastAsia" w:ascii="黑体" w:eastAsia="黑体"/>
          <w:b/>
          <w:color w:val="auto"/>
          <w:spacing w:val="6"/>
          <w:sz w:val="24"/>
        </w:rPr>
        <w:t xml:space="preserve"> -</w:t>
      </w:r>
      <w:r>
        <w:rPr>
          <w:rFonts w:hint="eastAsia" w:ascii="黑体" w:eastAsia="黑体"/>
          <w:b/>
          <w:color w:val="auto"/>
          <w:spacing w:val="6"/>
          <w:sz w:val="24"/>
        </w:rPr>
        <w:fldChar w:fldCharType="end"/>
      </w: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pStyle w:val="8"/>
        <w:rPr>
          <w:rFonts w:ascii="黑体"/>
          <w:b/>
          <w:color w:val="auto"/>
          <w:sz w:val="20"/>
        </w:rPr>
      </w:pPr>
    </w:p>
    <w:p>
      <w:pPr>
        <w:rPr>
          <w:color w:val="auto"/>
          <w:sz w:val="18"/>
        </w:rPr>
        <w:sectPr>
          <w:footerReference r:id="rId3" w:type="default"/>
          <w:pgSz w:w="11910" w:h="16850"/>
          <w:pgMar w:top="1500" w:right="1200" w:bottom="280" w:left="1180" w:header="720" w:footer="720" w:gutter="0"/>
          <w:cols w:space="720" w:num="1"/>
        </w:sectPr>
      </w:pPr>
    </w:p>
    <w:p>
      <w:pPr>
        <w:tabs>
          <w:tab w:val="left" w:pos="1303"/>
        </w:tabs>
        <w:spacing w:before="43"/>
        <w:ind w:left="24"/>
        <w:jc w:val="center"/>
        <w:rPr>
          <w:rFonts w:ascii="黑体" w:eastAsia="黑体"/>
          <w:color w:val="auto"/>
          <w:sz w:val="32"/>
          <w:lang w:val="en-US"/>
        </w:rPr>
      </w:pPr>
      <w:bookmarkStart w:id="0" w:name="第一章__招标公告"/>
      <w:bookmarkEnd w:id="0"/>
    </w:p>
    <w:p>
      <w:pPr>
        <w:tabs>
          <w:tab w:val="left" w:pos="1303"/>
        </w:tabs>
        <w:spacing w:before="43"/>
        <w:ind w:left="24"/>
        <w:jc w:val="center"/>
        <w:rPr>
          <w:rFonts w:ascii="黑体" w:eastAsia="黑体"/>
          <w:color w:val="auto"/>
          <w:sz w:val="32"/>
        </w:rPr>
      </w:pPr>
      <w:r>
        <w:rPr>
          <w:rFonts w:hint="eastAsia" w:ascii="黑体" w:eastAsia="黑体"/>
          <w:color w:val="auto"/>
          <w:sz w:val="32"/>
          <w:lang w:val="en-US"/>
        </w:rPr>
        <w:tab/>
      </w:r>
      <w:r>
        <w:rPr>
          <w:rFonts w:hint="eastAsia" w:ascii="黑体" w:eastAsia="黑体"/>
          <w:color w:val="auto"/>
          <w:sz w:val="32"/>
        </w:rPr>
        <w:t>第一章</w:t>
      </w:r>
      <w:r>
        <w:rPr>
          <w:rFonts w:hint="eastAsia" w:ascii="黑体" w:eastAsia="黑体"/>
          <w:color w:val="auto"/>
          <w:sz w:val="32"/>
        </w:rPr>
        <w:tab/>
      </w:r>
      <w:r>
        <w:rPr>
          <w:rFonts w:hint="eastAsia" w:ascii="黑体" w:eastAsia="黑体"/>
          <w:color w:val="auto"/>
          <w:sz w:val="32"/>
        </w:rPr>
        <w:t>招标公告</w:t>
      </w:r>
    </w:p>
    <w:p>
      <w:pPr>
        <w:spacing w:before="246"/>
        <w:ind w:left="22"/>
        <w:jc w:val="center"/>
        <w:rPr>
          <w:rFonts w:ascii="黑体" w:eastAsia="黑体"/>
          <w:color w:val="auto"/>
          <w:sz w:val="28"/>
        </w:rPr>
      </w:pPr>
      <w:r>
        <w:rPr>
          <w:rFonts w:hint="eastAsia" w:ascii="黑体" w:eastAsia="黑体"/>
          <w:color w:val="auto"/>
          <w:sz w:val="28"/>
          <w:u w:val="single"/>
          <w:lang w:eastAsia="zh-CN"/>
        </w:rPr>
        <w:t>岳阳市南湖新区渔场道路工程</w:t>
      </w:r>
      <w:r>
        <w:rPr>
          <w:rFonts w:hint="eastAsia" w:ascii="黑体" w:eastAsia="黑体"/>
          <w:color w:val="auto"/>
          <w:sz w:val="28"/>
          <w:u w:val="single"/>
        </w:rPr>
        <w:t xml:space="preserve">设计施工总承包（EPC）项目 </w:t>
      </w:r>
      <w:r>
        <w:rPr>
          <w:rFonts w:hint="eastAsia" w:ascii="黑体" w:eastAsia="黑体"/>
          <w:color w:val="auto"/>
          <w:sz w:val="28"/>
        </w:rPr>
        <w:t>招标公告</w:t>
      </w:r>
    </w:p>
    <w:p>
      <w:pPr>
        <w:pStyle w:val="8"/>
        <w:spacing w:before="5"/>
        <w:rPr>
          <w:rFonts w:ascii="黑体"/>
          <w:color w:val="auto"/>
          <w:sz w:val="19"/>
        </w:rPr>
      </w:pPr>
    </w:p>
    <w:p>
      <w:pPr>
        <w:pStyle w:val="41"/>
        <w:spacing w:before="137"/>
        <w:ind w:left="238" w:firstLine="0"/>
        <w:rPr>
          <w:color w:val="auto"/>
        </w:rPr>
      </w:pPr>
      <w:r>
        <w:rPr>
          <w:color w:val="auto"/>
        </w:rPr>
        <w:t xml:space="preserve">一、招标条件 </w:t>
      </w:r>
    </w:p>
    <w:p>
      <w:pPr>
        <w:pStyle w:val="8"/>
        <w:spacing w:before="5" w:line="364" w:lineRule="auto"/>
        <w:ind w:left="438" w:right="250" w:firstLine="208"/>
        <w:jc w:val="both"/>
        <w:rPr>
          <w:color w:val="auto"/>
          <w:spacing w:val="-3"/>
          <w:lang w:val="en-US"/>
        </w:rPr>
      </w:pPr>
      <w:r>
        <w:rPr>
          <w:rFonts w:hint="eastAsia"/>
          <w:color w:val="auto"/>
          <w:spacing w:val="-3"/>
          <w:lang w:eastAsia="zh-CN"/>
        </w:rPr>
        <w:t>岳阳市南湖新区渔场道路工程</w:t>
      </w:r>
      <w:r>
        <w:rPr>
          <w:color w:val="auto"/>
          <w:spacing w:val="-3"/>
        </w:rPr>
        <w:t>设计施工总承包（EPC）项目已由</w:t>
      </w:r>
      <w:bookmarkStart w:id="1" w:name="二、项目概况和招标范围"/>
      <w:bookmarkEnd w:id="1"/>
      <w:r>
        <w:rPr>
          <w:rFonts w:hint="eastAsia"/>
          <w:bCs/>
          <w:color w:val="auto"/>
          <w:spacing w:val="-3"/>
          <w:u w:val="single"/>
          <w:lang w:val="en-US" w:eastAsia="zh-CN"/>
        </w:rPr>
        <w:t>岳阳市南湖新区发展改革局</w:t>
      </w:r>
      <w:r>
        <w:rPr>
          <w:bCs/>
          <w:color w:val="auto"/>
          <w:spacing w:val="-3"/>
          <w:lang w:val="en-US"/>
        </w:rPr>
        <w:t xml:space="preserve"> </w:t>
      </w:r>
      <w:r>
        <w:rPr>
          <w:rFonts w:hint="eastAsia"/>
          <w:color w:val="auto"/>
          <w:spacing w:val="-3"/>
          <w:lang w:val="en-US"/>
        </w:rPr>
        <w:t>以</w:t>
      </w:r>
      <w:r>
        <w:rPr>
          <w:color w:val="auto"/>
          <w:spacing w:val="-3"/>
          <w:lang w:val="en-US"/>
        </w:rPr>
        <w:t xml:space="preserve">  </w:t>
      </w:r>
      <w:r>
        <w:rPr>
          <w:rFonts w:hint="eastAsia"/>
          <w:bCs/>
          <w:color w:val="auto"/>
          <w:spacing w:val="-3"/>
          <w:u w:val="single"/>
          <w:lang w:val="en-US" w:eastAsia="zh-CN"/>
        </w:rPr>
        <w:t>岳南</w:t>
      </w:r>
      <w:r>
        <w:rPr>
          <w:rFonts w:hint="eastAsia"/>
          <w:bCs/>
          <w:color w:val="auto"/>
          <w:spacing w:val="-3"/>
          <w:u w:val="single"/>
          <w:lang w:val="en-US"/>
        </w:rPr>
        <w:t>发【2020】</w:t>
      </w:r>
      <w:r>
        <w:rPr>
          <w:rFonts w:hint="eastAsia"/>
          <w:bCs/>
          <w:color w:val="auto"/>
          <w:spacing w:val="-3"/>
          <w:u w:val="single"/>
          <w:lang w:val="en-US" w:eastAsia="zh-CN"/>
        </w:rPr>
        <w:t>25</w:t>
      </w:r>
      <w:r>
        <w:rPr>
          <w:rFonts w:hint="eastAsia"/>
          <w:bCs/>
          <w:color w:val="auto"/>
          <w:spacing w:val="-3"/>
          <w:u w:val="single"/>
          <w:lang w:val="en-US"/>
        </w:rPr>
        <w:t>号</w:t>
      </w:r>
      <w:r>
        <w:rPr>
          <w:rFonts w:hint="eastAsia"/>
          <w:bCs/>
          <w:color w:val="auto"/>
          <w:spacing w:val="-3"/>
          <w:u w:val="single"/>
          <w:lang w:val="en-US" w:eastAsia="zh-CN"/>
        </w:rPr>
        <w:t>、岳南</w:t>
      </w:r>
      <w:r>
        <w:rPr>
          <w:rFonts w:hint="eastAsia"/>
          <w:bCs/>
          <w:color w:val="auto"/>
          <w:spacing w:val="-3"/>
          <w:u w:val="single"/>
          <w:lang w:val="en-US"/>
        </w:rPr>
        <w:t>发【2020】</w:t>
      </w:r>
      <w:r>
        <w:rPr>
          <w:rFonts w:hint="eastAsia"/>
          <w:bCs/>
          <w:color w:val="auto"/>
          <w:spacing w:val="-3"/>
          <w:u w:val="single"/>
          <w:lang w:val="en-US" w:eastAsia="zh-CN"/>
        </w:rPr>
        <w:t>48</w:t>
      </w:r>
      <w:r>
        <w:rPr>
          <w:rFonts w:hint="eastAsia"/>
          <w:bCs/>
          <w:color w:val="auto"/>
          <w:spacing w:val="-3"/>
          <w:u w:val="single"/>
          <w:lang w:val="en-US"/>
        </w:rPr>
        <w:t>号</w:t>
      </w:r>
      <w:r>
        <w:rPr>
          <w:rFonts w:hint="eastAsia"/>
          <w:bCs/>
          <w:color w:val="auto"/>
          <w:spacing w:val="-3"/>
          <w:u w:val="single"/>
          <w:lang w:val="en-US" w:eastAsia="zh-CN"/>
        </w:rPr>
        <w:t>文</w:t>
      </w:r>
      <w:r>
        <w:rPr>
          <w:bCs/>
          <w:color w:val="auto"/>
          <w:spacing w:val="-3"/>
          <w:lang w:val="en-US"/>
        </w:rPr>
        <w:t xml:space="preserve"> </w:t>
      </w:r>
      <w:r>
        <w:rPr>
          <w:rFonts w:hint="eastAsia"/>
          <w:color w:val="auto"/>
          <w:spacing w:val="-3"/>
          <w:lang w:val="en-US"/>
        </w:rPr>
        <w:t>批准建设，招标人为</w:t>
      </w:r>
      <w:r>
        <w:rPr>
          <w:rFonts w:hint="eastAsia"/>
          <w:color w:val="auto"/>
          <w:spacing w:val="-3"/>
          <w:u w:val="single"/>
          <w:lang w:val="en-US" w:eastAsia="zh-CN"/>
        </w:rPr>
        <w:t>岳阳南湖天著置业有限公司</w:t>
      </w:r>
      <w:r>
        <w:rPr>
          <w:rFonts w:hint="eastAsia"/>
          <w:color w:val="auto"/>
          <w:spacing w:val="-3"/>
          <w:lang w:val="en-US"/>
        </w:rPr>
        <w:t>，建设资金来自</w:t>
      </w:r>
      <w:r>
        <w:rPr>
          <w:color w:val="auto"/>
          <w:spacing w:val="-3"/>
          <w:u w:val="single"/>
          <w:lang w:val="en-US"/>
        </w:rPr>
        <w:t xml:space="preserve"> </w:t>
      </w:r>
      <w:r>
        <w:rPr>
          <w:rFonts w:hint="eastAsia"/>
          <w:color w:val="auto"/>
          <w:spacing w:val="-3"/>
          <w:u w:val="single"/>
          <w:lang w:val="en-US" w:eastAsia="zh-CN"/>
        </w:rPr>
        <w:t>区财政配套资金及岳阳南湖天著置业有限公司出资。</w:t>
      </w:r>
      <w:r>
        <w:rPr>
          <w:rFonts w:hint="eastAsia"/>
          <w:color w:val="auto"/>
          <w:spacing w:val="-3"/>
          <w:lang w:val="en-US"/>
        </w:rPr>
        <w:t>项目已具备招标条件，现对该项目进行</w:t>
      </w:r>
      <w:r>
        <w:rPr>
          <w:rFonts w:hint="eastAsia"/>
          <w:bCs/>
          <w:color w:val="auto"/>
          <w:spacing w:val="-3"/>
          <w:u w:val="single"/>
          <w:lang w:val="en-US"/>
        </w:rPr>
        <w:t>公开招标</w:t>
      </w:r>
      <w:r>
        <w:rPr>
          <w:rFonts w:hint="eastAsia"/>
          <w:color w:val="auto"/>
          <w:spacing w:val="-3"/>
          <w:lang w:val="en-US"/>
        </w:rPr>
        <w:t>。</w:t>
      </w:r>
    </w:p>
    <w:p>
      <w:pPr>
        <w:pStyle w:val="41"/>
        <w:spacing w:before="137"/>
        <w:ind w:left="238" w:firstLine="0"/>
        <w:rPr>
          <w:color w:val="auto"/>
        </w:rPr>
      </w:pPr>
      <w:r>
        <w:rPr>
          <w:color w:val="auto"/>
        </w:rPr>
        <w:t>二、项目概况和招标范围</w:t>
      </w:r>
    </w:p>
    <w:p>
      <w:pPr>
        <w:widowControl/>
        <w:autoSpaceDE/>
        <w:autoSpaceDN/>
        <w:spacing w:line="420" w:lineRule="exact"/>
        <w:ind w:firstLine="420" w:firstLineChars="200"/>
        <w:rPr>
          <w:color w:val="auto"/>
          <w:sz w:val="21"/>
          <w:szCs w:val="21"/>
          <w:lang w:val="en-US"/>
        </w:rPr>
      </w:pPr>
      <w:r>
        <w:rPr>
          <w:color w:val="auto"/>
          <w:sz w:val="21"/>
          <w:szCs w:val="21"/>
        </w:rPr>
        <w:t>1</w:t>
      </w:r>
      <w:r>
        <w:rPr>
          <w:rFonts w:hint="eastAsia"/>
          <w:color w:val="auto"/>
          <w:sz w:val="21"/>
          <w:szCs w:val="21"/>
        </w:rPr>
        <w:t>.</w:t>
      </w:r>
      <w:r>
        <w:rPr>
          <w:color w:val="auto"/>
          <w:sz w:val="21"/>
          <w:szCs w:val="21"/>
        </w:rPr>
        <w:t>项目名称：</w:t>
      </w:r>
      <w:r>
        <w:rPr>
          <w:rFonts w:hint="eastAsia"/>
          <w:color w:val="auto"/>
          <w:sz w:val="21"/>
          <w:szCs w:val="21"/>
          <w:lang w:eastAsia="zh-CN"/>
        </w:rPr>
        <w:t>岳阳市南湖新区渔场道路工程</w:t>
      </w:r>
      <w:r>
        <w:rPr>
          <w:color w:val="auto"/>
          <w:sz w:val="21"/>
          <w:szCs w:val="21"/>
        </w:rPr>
        <w:t>设计施工总承包（EPC）项目</w:t>
      </w:r>
    </w:p>
    <w:p>
      <w:pPr>
        <w:widowControl/>
        <w:autoSpaceDE/>
        <w:autoSpaceDN/>
        <w:spacing w:line="420" w:lineRule="exact"/>
        <w:ind w:firstLine="420" w:firstLineChars="200"/>
        <w:rPr>
          <w:color w:val="auto"/>
          <w:sz w:val="21"/>
          <w:szCs w:val="21"/>
          <w:lang w:val="en-US"/>
        </w:rPr>
      </w:pPr>
      <w:r>
        <w:rPr>
          <w:color w:val="auto"/>
          <w:sz w:val="21"/>
          <w:szCs w:val="21"/>
        </w:rPr>
        <w:t>2</w:t>
      </w:r>
      <w:r>
        <w:rPr>
          <w:rFonts w:hint="eastAsia"/>
          <w:color w:val="auto"/>
          <w:sz w:val="21"/>
          <w:szCs w:val="21"/>
        </w:rPr>
        <w:t>、</w:t>
      </w:r>
      <w:r>
        <w:rPr>
          <w:color w:val="auto"/>
          <w:sz w:val="21"/>
          <w:szCs w:val="21"/>
        </w:rPr>
        <w:t>建设地</w:t>
      </w:r>
      <w:r>
        <w:rPr>
          <w:rFonts w:hint="eastAsia"/>
          <w:color w:val="auto"/>
          <w:sz w:val="21"/>
          <w:szCs w:val="21"/>
        </w:rPr>
        <w:t>点：</w:t>
      </w:r>
      <w:r>
        <w:rPr>
          <w:rFonts w:hint="eastAsia"/>
          <w:color w:val="auto"/>
          <w:sz w:val="21"/>
          <w:szCs w:val="21"/>
          <w:lang w:eastAsia="zh-CN"/>
        </w:rPr>
        <w:t>岳阳市南湖新区天灯咀片区</w:t>
      </w:r>
    </w:p>
    <w:p>
      <w:pPr>
        <w:widowControl/>
        <w:autoSpaceDE/>
        <w:autoSpaceDN/>
        <w:spacing w:line="420" w:lineRule="exact"/>
        <w:ind w:firstLine="420" w:firstLineChars="200"/>
        <w:rPr>
          <w:rFonts w:hint="eastAsia"/>
          <w:color w:val="auto"/>
          <w:sz w:val="21"/>
          <w:szCs w:val="21"/>
          <w:lang w:val="en-US"/>
        </w:rPr>
      </w:pPr>
      <w:r>
        <w:rPr>
          <w:rFonts w:hint="eastAsia"/>
          <w:color w:val="auto"/>
          <w:sz w:val="21"/>
          <w:szCs w:val="21"/>
        </w:rPr>
        <w:t>3、规模：</w:t>
      </w:r>
      <w:r>
        <w:rPr>
          <w:rFonts w:hint="eastAsia"/>
          <w:color w:val="auto"/>
          <w:sz w:val="21"/>
          <w:szCs w:val="21"/>
          <w:lang w:val="en-US"/>
        </w:rPr>
        <w:t>本次招标为</w:t>
      </w:r>
      <w:r>
        <w:rPr>
          <w:rFonts w:hint="eastAsia"/>
          <w:color w:val="auto"/>
          <w:sz w:val="21"/>
          <w:szCs w:val="21"/>
          <w:lang w:eastAsia="zh-CN"/>
        </w:rPr>
        <w:t>岳阳市南湖新区渔场道路工程</w:t>
      </w:r>
      <w:r>
        <w:rPr>
          <w:color w:val="auto"/>
          <w:sz w:val="21"/>
          <w:szCs w:val="21"/>
        </w:rPr>
        <w:t>设计施工总承包（EPC）项目</w:t>
      </w:r>
      <w:r>
        <w:rPr>
          <w:rFonts w:hint="eastAsia"/>
          <w:color w:val="auto"/>
          <w:sz w:val="21"/>
          <w:szCs w:val="21"/>
        </w:rPr>
        <w:t>，新建</w:t>
      </w:r>
      <w:r>
        <w:rPr>
          <w:rFonts w:hint="eastAsia"/>
          <w:color w:val="auto"/>
          <w:sz w:val="21"/>
          <w:szCs w:val="21"/>
          <w:lang w:eastAsia="zh-CN"/>
        </w:rPr>
        <w:t>道路</w:t>
      </w:r>
      <w:r>
        <w:rPr>
          <w:rFonts w:hint="eastAsia"/>
          <w:color w:val="auto"/>
          <w:sz w:val="21"/>
          <w:szCs w:val="21"/>
          <w:lang w:val="en-US" w:eastAsia="zh-CN"/>
        </w:rPr>
        <w:t>477.5米，其中下穿道路218.326米，包括道路工程、给排水工程、绿化等配套设施</w:t>
      </w:r>
      <w:r>
        <w:rPr>
          <w:rFonts w:hint="eastAsia"/>
          <w:color w:val="auto"/>
          <w:sz w:val="21"/>
          <w:szCs w:val="21"/>
          <w:lang w:val="en-US"/>
        </w:rPr>
        <w:t>。主要工程内容为初步设计优化，施工图设计及工程施工。</w:t>
      </w:r>
      <w:r>
        <w:rPr>
          <w:rFonts w:hint="eastAsia"/>
          <w:color w:val="auto"/>
          <w:sz w:val="21"/>
          <w:szCs w:val="21"/>
        </w:rPr>
        <w:t>具体</w:t>
      </w:r>
      <w:r>
        <w:rPr>
          <w:rFonts w:hint="eastAsia"/>
          <w:color w:val="auto"/>
          <w:sz w:val="21"/>
          <w:szCs w:val="21"/>
          <w:lang w:eastAsia="zh-CN"/>
        </w:rPr>
        <w:t>以</w:t>
      </w:r>
      <w:r>
        <w:rPr>
          <w:rFonts w:hint="eastAsia"/>
          <w:color w:val="auto"/>
          <w:sz w:val="21"/>
          <w:szCs w:val="21"/>
        </w:rPr>
        <w:t>最终财政评</w:t>
      </w:r>
      <w:r>
        <w:rPr>
          <w:rFonts w:hint="eastAsia"/>
          <w:color w:val="auto"/>
          <w:sz w:val="21"/>
          <w:szCs w:val="21"/>
          <w:lang w:val="en-US"/>
        </w:rPr>
        <w:t>审的工程量清单为准。</w:t>
      </w:r>
    </w:p>
    <w:p>
      <w:pPr>
        <w:widowControl/>
        <w:autoSpaceDE/>
        <w:autoSpaceDN/>
        <w:spacing w:line="420" w:lineRule="exact"/>
        <w:ind w:firstLine="420" w:firstLineChars="200"/>
        <w:rPr>
          <w:rFonts w:hint="eastAsia"/>
          <w:color w:val="auto"/>
          <w:sz w:val="21"/>
          <w:szCs w:val="21"/>
          <w:lang w:val="en-US"/>
        </w:rPr>
      </w:pPr>
      <w:r>
        <w:rPr>
          <w:rFonts w:hint="eastAsia"/>
          <w:color w:val="auto"/>
          <w:sz w:val="21"/>
          <w:szCs w:val="21"/>
          <w:lang w:val="en-US"/>
        </w:rPr>
        <w:t>4.工期要求：</w:t>
      </w:r>
      <w:r>
        <w:rPr>
          <w:rFonts w:hint="eastAsia"/>
          <w:color w:val="auto"/>
          <w:sz w:val="21"/>
          <w:szCs w:val="21"/>
          <w:lang w:val="en-US" w:eastAsia="zh-CN"/>
        </w:rPr>
        <w:t>230</w:t>
      </w:r>
      <w:r>
        <w:rPr>
          <w:rFonts w:hint="eastAsia"/>
          <w:color w:val="auto"/>
          <w:sz w:val="21"/>
          <w:szCs w:val="21"/>
          <w:lang w:val="en-US"/>
        </w:rPr>
        <w:t>日历天（其中设计工期为：</w:t>
      </w:r>
      <w:r>
        <w:rPr>
          <w:rFonts w:hint="eastAsia"/>
          <w:color w:val="auto"/>
          <w:sz w:val="21"/>
          <w:szCs w:val="21"/>
          <w:lang w:val="en-US" w:eastAsia="zh-CN"/>
        </w:rPr>
        <w:t>30</w:t>
      </w:r>
      <w:r>
        <w:rPr>
          <w:rFonts w:hint="eastAsia"/>
          <w:color w:val="auto"/>
          <w:sz w:val="21"/>
          <w:szCs w:val="21"/>
          <w:lang w:val="en-US"/>
        </w:rPr>
        <w:t>日历天；施工工期为：</w:t>
      </w:r>
      <w:r>
        <w:rPr>
          <w:rFonts w:hint="eastAsia"/>
          <w:color w:val="auto"/>
          <w:sz w:val="21"/>
          <w:szCs w:val="21"/>
          <w:lang w:val="en-US" w:eastAsia="zh-CN"/>
        </w:rPr>
        <w:t>200</w:t>
      </w:r>
      <w:r>
        <w:rPr>
          <w:rFonts w:hint="eastAsia"/>
          <w:color w:val="auto"/>
          <w:sz w:val="21"/>
          <w:szCs w:val="21"/>
          <w:lang w:val="en-US"/>
        </w:rPr>
        <w:t>日历天）。</w:t>
      </w:r>
    </w:p>
    <w:p>
      <w:pPr>
        <w:widowControl/>
        <w:autoSpaceDE/>
        <w:autoSpaceDN/>
        <w:spacing w:line="420" w:lineRule="exact"/>
        <w:ind w:left="838" w:leftChars="190" w:hanging="420" w:hangingChars="200"/>
        <w:rPr>
          <w:rFonts w:hint="eastAsia"/>
          <w:color w:val="auto"/>
          <w:sz w:val="21"/>
          <w:szCs w:val="21"/>
          <w:lang w:val="en-US"/>
        </w:rPr>
      </w:pPr>
      <w:r>
        <w:rPr>
          <w:rFonts w:hint="eastAsia"/>
          <w:color w:val="auto"/>
          <w:sz w:val="21"/>
          <w:szCs w:val="21"/>
          <w:lang w:val="en-US"/>
        </w:rPr>
        <w:t>5.质量要求：</w:t>
      </w:r>
    </w:p>
    <w:p>
      <w:pPr>
        <w:widowControl/>
        <w:autoSpaceDE/>
        <w:autoSpaceDN/>
        <w:spacing w:line="420" w:lineRule="exact"/>
        <w:ind w:left="837" w:leftChars="285" w:hanging="210" w:hangingChars="100"/>
        <w:rPr>
          <w:rFonts w:hint="eastAsia"/>
          <w:color w:val="auto"/>
          <w:sz w:val="21"/>
          <w:szCs w:val="21"/>
          <w:lang w:val="en-US" w:eastAsia="zh-CN"/>
        </w:rPr>
      </w:pPr>
      <w:r>
        <w:rPr>
          <w:rFonts w:hint="eastAsia"/>
          <w:color w:val="auto"/>
          <w:sz w:val="21"/>
          <w:szCs w:val="21"/>
          <w:lang w:val="en-US"/>
        </w:rPr>
        <w:t>设计质量满足国家、省、市、行业规范及施工需求，并通过相关行业主管部门审查；</w:t>
      </w:r>
      <w:r>
        <w:rPr>
          <w:rFonts w:hint="eastAsia"/>
          <w:color w:val="auto"/>
          <w:sz w:val="21"/>
          <w:szCs w:val="21"/>
          <w:lang w:val="en-US" w:eastAsia="zh-CN"/>
        </w:rPr>
        <w:t xml:space="preserve">        </w:t>
      </w:r>
    </w:p>
    <w:p>
      <w:pPr>
        <w:widowControl/>
        <w:autoSpaceDE/>
        <w:autoSpaceDN/>
        <w:spacing w:line="420" w:lineRule="exact"/>
        <w:ind w:left="837" w:leftChars="285" w:hanging="210" w:hangingChars="100"/>
        <w:rPr>
          <w:rFonts w:hint="eastAsia"/>
          <w:color w:val="auto"/>
          <w:sz w:val="21"/>
          <w:szCs w:val="21"/>
          <w:lang w:val="en-US"/>
        </w:rPr>
      </w:pPr>
      <w:r>
        <w:rPr>
          <w:rFonts w:hint="eastAsia"/>
          <w:color w:val="auto"/>
          <w:sz w:val="21"/>
          <w:szCs w:val="21"/>
          <w:lang w:val="en-US"/>
        </w:rPr>
        <w:t>施工质量达到《</w:t>
      </w:r>
      <w:r>
        <w:rPr>
          <w:rFonts w:hint="eastAsia"/>
          <w:color w:val="auto"/>
          <w:sz w:val="21"/>
          <w:szCs w:val="21"/>
          <w:lang w:val="en-US" w:eastAsia="zh-CN"/>
        </w:rPr>
        <w:t>工程施工及验收规范</w:t>
      </w:r>
      <w:r>
        <w:rPr>
          <w:rFonts w:hint="eastAsia"/>
          <w:color w:val="auto"/>
          <w:sz w:val="21"/>
          <w:szCs w:val="21"/>
          <w:lang w:val="en-US"/>
        </w:rPr>
        <w:t>》及国家颁布的施工验收规范和质量检验标准，全部工程达到合格标</w:t>
      </w:r>
    </w:p>
    <w:p>
      <w:pPr>
        <w:widowControl/>
        <w:autoSpaceDE/>
        <w:autoSpaceDN/>
        <w:spacing w:line="420" w:lineRule="exact"/>
        <w:ind w:left="837" w:leftChars="285" w:hanging="210" w:hangingChars="100"/>
        <w:rPr>
          <w:rFonts w:hint="eastAsia"/>
          <w:color w:val="auto"/>
          <w:sz w:val="21"/>
          <w:szCs w:val="21"/>
          <w:lang w:val="en-US"/>
        </w:rPr>
      </w:pPr>
      <w:r>
        <w:rPr>
          <w:rFonts w:hint="eastAsia"/>
          <w:color w:val="auto"/>
          <w:sz w:val="21"/>
          <w:szCs w:val="21"/>
          <w:lang w:val="en-US"/>
        </w:rPr>
        <w:t>准；</w:t>
      </w:r>
    </w:p>
    <w:p>
      <w:pPr>
        <w:widowControl/>
        <w:autoSpaceDE/>
        <w:autoSpaceDN/>
        <w:spacing w:line="420" w:lineRule="exact"/>
        <w:ind w:firstLine="420" w:firstLineChars="200"/>
        <w:rPr>
          <w:color w:val="auto"/>
          <w:sz w:val="21"/>
          <w:szCs w:val="21"/>
          <w:lang w:val="en-US"/>
        </w:rPr>
      </w:pPr>
      <w:r>
        <w:rPr>
          <w:color w:val="auto"/>
          <w:sz w:val="21"/>
          <w:szCs w:val="21"/>
        </w:rPr>
        <w:t>6</w:t>
      </w:r>
      <w:r>
        <w:rPr>
          <w:rFonts w:hint="eastAsia"/>
          <w:color w:val="auto"/>
          <w:sz w:val="21"/>
          <w:szCs w:val="21"/>
        </w:rPr>
        <w:t>.</w:t>
      </w:r>
      <w:r>
        <w:rPr>
          <w:color w:val="auto"/>
          <w:sz w:val="21"/>
          <w:szCs w:val="21"/>
        </w:rPr>
        <w:t>保修要求：按照国家建设部</w:t>
      </w:r>
      <w:r>
        <w:rPr>
          <w:rFonts w:hint="eastAsia"/>
          <w:color w:val="auto"/>
          <w:sz w:val="21"/>
          <w:szCs w:val="21"/>
        </w:rPr>
        <w:t>【</w:t>
      </w:r>
      <w:r>
        <w:rPr>
          <w:rFonts w:hint="eastAsia"/>
          <w:color w:val="auto"/>
          <w:sz w:val="21"/>
          <w:szCs w:val="21"/>
          <w:lang w:val="en-US"/>
        </w:rPr>
        <w:t>2000</w:t>
      </w:r>
      <w:r>
        <w:rPr>
          <w:rFonts w:hint="eastAsia"/>
          <w:color w:val="auto"/>
          <w:sz w:val="21"/>
          <w:szCs w:val="21"/>
        </w:rPr>
        <w:t>】</w:t>
      </w:r>
      <w:r>
        <w:rPr>
          <w:rFonts w:hint="eastAsia"/>
          <w:color w:val="auto"/>
          <w:sz w:val="21"/>
          <w:szCs w:val="21"/>
          <w:lang w:val="en-US"/>
        </w:rPr>
        <w:t>279</w:t>
      </w:r>
      <w:r>
        <w:rPr>
          <w:color w:val="auto"/>
          <w:sz w:val="21"/>
          <w:szCs w:val="21"/>
        </w:rPr>
        <w:t>号令</w:t>
      </w:r>
      <w:r>
        <w:rPr>
          <w:rFonts w:hint="eastAsia" w:cs="Arial"/>
          <w:color w:val="auto"/>
          <w:sz w:val="21"/>
          <w:szCs w:val="21"/>
        </w:rPr>
        <w:t>及相关工程保修承诺执行。</w:t>
      </w:r>
    </w:p>
    <w:p>
      <w:pPr>
        <w:widowControl/>
        <w:autoSpaceDE/>
        <w:autoSpaceDN/>
        <w:spacing w:line="420" w:lineRule="exact"/>
        <w:ind w:firstLine="420" w:firstLineChars="200"/>
        <w:rPr>
          <w:color w:val="auto"/>
          <w:sz w:val="21"/>
          <w:szCs w:val="21"/>
          <w:lang w:val="en-US"/>
        </w:rPr>
      </w:pPr>
      <w:r>
        <w:rPr>
          <w:rFonts w:hint="eastAsia"/>
          <w:color w:val="auto"/>
          <w:sz w:val="21"/>
          <w:szCs w:val="21"/>
          <w:lang w:val="en-US"/>
        </w:rPr>
        <w:t>7.招标范围：本次招标为</w:t>
      </w:r>
      <w:r>
        <w:rPr>
          <w:rFonts w:hint="eastAsia"/>
          <w:color w:val="auto"/>
          <w:sz w:val="21"/>
          <w:szCs w:val="21"/>
          <w:lang w:eastAsia="zh-CN"/>
        </w:rPr>
        <w:t>岳阳市南湖新区渔场道路工程</w:t>
      </w:r>
      <w:r>
        <w:rPr>
          <w:color w:val="auto"/>
          <w:sz w:val="21"/>
          <w:szCs w:val="21"/>
        </w:rPr>
        <w:t>设计施工总承包（EPC）项目</w:t>
      </w:r>
      <w:r>
        <w:rPr>
          <w:rFonts w:hint="eastAsia"/>
          <w:color w:val="auto"/>
          <w:sz w:val="21"/>
          <w:szCs w:val="21"/>
          <w:lang w:val="en-US"/>
        </w:rPr>
        <w:t>主要工程内容为建设规模范围内的设计、施工总承包，主要包括初步设计优化，施工图设计及工程施工；（施工部分主要包括新建</w:t>
      </w:r>
      <w:r>
        <w:rPr>
          <w:rFonts w:hint="eastAsia"/>
          <w:color w:val="auto"/>
          <w:sz w:val="21"/>
          <w:szCs w:val="21"/>
          <w:lang w:val="en-US" w:eastAsia="zh-CN"/>
        </w:rPr>
        <w:t>道路477.5米，其中下穿道路218.326米，包括道路工程、给排水工程、绿化等配套设施</w:t>
      </w:r>
      <w:r>
        <w:rPr>
          <w:rFonts w:hint="eastAsia"/>
          <w:color w:val="auto"/>
          <w:sz w:val="21"/>
          <w:szCs w:val="21"/>
          <w:lang w:val="en-US"/>
        </w:rPr>
        <w:t>。</w:t>
      </w:r>
      <w:r>
        <w:rPr>
          <w:rFonts w:hint="eastAsia"/>
          <w:color w:val="auto"/>
          <w:sz w:val="21"/>
          <w:szCs w:val="21"/>
        </w:rPr>
        <w:t>具体</w:t>
      </w:r>
      <w:r>
        <w:rPr>
          <w:rFonts w:hint="eastAsia"/>
          <w:color w:val="auto"/>
          <w:sz w:val="21"/>
          <w:szCs w:val="21"/>
          <w:lang w:eastAsia="zh-CN"/>
        </w:rPr>
        <w:t>以</w:t>
      </w:r>
      <w:r>
        <w:rPr>
          <w:rFonts w:hint="eastAsia"/>
          <w:color w:val="auto"/>
          <w:sz w:val="21"/>
          <w:szCs w:val="21"/>
        </w:rPr>
        <w:t>最终财政评审的工程量清单为准</w:t>
      </w:r>
      <w:r>
        <w:rPr>
          <w:rFonts w:hint="eastAsia"/>
          <w:color w:val="auto"/>
          <w:sz w:val="21"/>
          <w:szCs w:val="21"/>
          <w:lang w:eastAsia="zh-CN"/>
        </w:rPr>
        <w:t>）</w:t>
      </w:r>
      <w:r>
        <w:rPr>
          <w:rFonts w:hint="eastAsia"/>
          <w:color w:val="auto"/>
          <w:sz w:val="21"/>
          <w:szCs w:val="21"/>
        </w:rPr>
        <w:t>。</w:t>
      </w:r>
    </w:p>
    <w:p>
      <w:pPr>
        <w:pStyle w:val="15"/>
        <w:spacing w:line="420" w:lineRule="exact"/>
        <w:ind w:firstLineChars="200"/>
        <w:rPr>
          <w:rFonts w:ascii="宋体" w:hAnsi="宋体" w:cs="宋体"/>
          <w:color w:val="auto"/>
          <w:kern w:val="0"/>
          <w:szCs w:val="21"/>
          <w:lang w:eastAsia="zh-CN"/>
        </w:rPr>
      </w:pPr>
      <w:r>
        <w:rPr>
          <w:rFonts w:hint="eastAsia" w:ascii="宋体" w:hAnsi="宋体" w:eastAsia="宋体" w:cs="宋体"/>
          <w:color w:val="auto"/>
          <w:kern w:val="0"/>
          <w:szCs w:val="21"/>
          <w:lang w:eastAsia="zh-CN"/>
        </w:rPr>
        <w:t>8.标段划分：一个标段。</w:t>
      </w:r>
    </w:p>
    <w:p>
      <w:pPr>
        <w:pStyle w:val="41"/>
        <w:spacing w:before="137"/>
        <w:ind w:left="238" w:firstLine="0"/>
        <w:rPr>
          <w:color w:val="auto"/>
        </w:rPr>
      </w:pPr>
      <w:bookmarkStart w:id="2" w:name="三、投标人资格要求"/>
      <w:bookmarkEnd w:id="2"/>
      <w:r>
        <w:rPr>
          <w:color w:val="auto"/>
        </w:rPr>
        <w:t>三、投标人资格要求</w:t>
      </w:r>
      <w:r>
        <w:rPr>
          <w:color w:val="auto"/>
          <w:w w:val="99"/>
        </w:rPr>
        <w:t xml:space="preserve"> </w:t>
      </w:r>
      <w:bookmarkStart w:id="3" w:name="_bookmark1"/>
      <w:bookmarkEnd w:id="3"/>
      <w:bookmarkStart w:id="4" w:name="第二章__投标人须知"/>
      <w:bookmarkEnd w:id="4"/>
      <w:r>
        <w:rPr>
          <w:color w:val="auto"/>
        </w:rPr>
        <w:t xml:space="preserve"> </w:t>
      </w:r>
    </w:p>
    <w:p>
      <w:pPr>
        <w:widowControl/>
        <w:autoSpaceDE/>
        <w:autoSpaceDN/>
        <w:spacing w:line="420" w:lineRule="exact"/>
        <w:ind w:firstLine="420" w:firstLineChars="200"/>
        <w:rPr>
          <w:color w:val="auto"/>
          <w:sz w:val="21"/>
          <w:szCs w:val="21"/>
        </w:rPr>
      </w:pPr>
      <w:r>
        <w:rPr>
          <w:rFonts w:hint="eastAsia"/>
          <w:color w:val="auto"/>
          <w:sz w:val="21"/>
          <w:szCs w:val="21"/>
          <w:lang w:eastAsia="zh-CN"/>
        </w:rPr>
        <w:t>岳阳市南湖新区渔场道路工程</w:t>
      </w:r>
      <w:r>
        <w:rPr>
          <w:color w:val="auto"/>
          <w:sz w:val="21"/>
          <w:szCs w:val="21"/>
        </w:rPr>
        <w:t xml:space="preserve">设计施工总承包（EPC）项目的投标人资格能力要求： </w:t>
      </w:r>
    </w:p>
    <w:p>
      <w:pPr>
        <w:widowControl/>
        <w:autoSpaceDE/>
        <w:autoSpaceDN/>
        <w:spacing w:line="420" w:lineRule="exact"/>
        <w:ind w:firstLine="420" w:firstLineChars="200"/>
        <w:rPr>
          <w:color w:val="auto"/>
          <w:sz w:val="21"/>
          <w:szCs w:val="21"/>
        </w:rPr>
      </w:pPr>
      <w:r>
        <w:rPr>
          <w:color w:val="auto"/>
          <w:sz w:val="21"/>
          <w:szCs w:val="21"/>
        </w:rPr>
        <w:t xml:space="preserve">1、 具有独立法人资格并依法取得企业营业执照，营业执照处于有效期；省外入湘企业在“湖南省住房和城乡建设网” 进行了基本信息登记； </w:t>
      </w:r>
    </w:p>
    <w:p>
      <w:pPr>
        <w:widowControl/>
        <w:autoSpaceDE/>
        <w:autoSpaceDN/>
        <w:spacing w:line="420" w:lineRule="exact"/>
        <w:ind w:firstLine="420" w:firstLineChars="200"/>
        <w:rPr>
          <w:color w:val="auto"/>
          <w:sz w:val="21"/>
          <w:szCs w:val="21"/>
        </w:rPr>
      </w:pPr>
      <w:r>
        <w:rPr>
          <w:color w:val="auto"/>
          <w:sz w:val="21"/>
          <w:szCs w:val="21"/>
        </w:rPr>
        <w:t>2、具备住房城乡建设主管部门颁发的工程设计综合</w:t>
      </w:r>
      <w:r>
        <w:rPr>
          <w:rFonts w:hint="eastAsia"/>
          <w:color w:val="auto"/>
          <w:sz w:val="21"/>
          <w:szCs w:val="21"/>
        </w:rPr>
        <w:t>甲级</w:t>
      </w:r>
      <w:r>
        <w:rPr>
          <w:color w:val="auto"/>
          <w:sz w:val="21"/>
          <w:szCs w:val="21"/>
        </w:rPr>
        <w:t>资质（或</w:t>
      </w:r>
      <w:r>
        <w:rPr>
          <w:rFonts w:hint="eastAsia"/>
          <w:color w:val="auto"/>
          <w:sz w:val="21"/>
          <w:szCs w:val="21"/>
        </w:rPr>
        <w:t>市政</w:t>
      </w:r>
      <w:r>
        <w:rPr>
          <w:color w:val="auto"/>
          <w:sz w:val="21"/>
          <w:szCs w:val="21"/>
        </w:rPr>
        <w:t>行业（</w:t>
      </w:r>
      <w:r>
        <w:rPr>
          <w:rFonts w:hint="eastAsia"/>
          <w:color w:val="auto"/>
          <w:sz w:val="21"/>
          <w:szCs w:val="21"/>
          <w:lang w:eastAsia="zh-CN"/>
        </w:rPr>
        <w:t>道路工程</w:t>
      </w:r>
      <w:r>
        <w:rPr>
          <w:color w:val="auto"/>
          <w:sz w:val="21"/>
          <w:szCs w:val="21"/>
        </w:rPr>
        <w:t>）设计</w:t>
      </w:r>
      <w:r>
        <w:rPr>
          <w:rFonts w:hint="eastAsia"/>
          <w:color w:val="auto"/>
          <w:sz w:val="21"/>
          <w:szCs w:val="21"/>
        </w:rPr>
        <w:t>丙</w:t>
      </w:r>
      <w:r>
        <w:rPr>
          <w:color w:val="auto"/>
          <w:sz w:val="21"/>
          <w:szCs w:val="21"/>
        </w:rPr>
        <w:t>级及以上资质）和</w:t>
      </w:r>
      <w:r>
        <w:rPr>
          <w:rFonts w:hint="eastAsia"/>
          <w:color w:val="auto"/>
          <w:sz w:val="21"/>
          <w:szCs w:val="21"/>
        </w:rPr>
        <w:t>市政公用</w:t>
      </w:r>
      <w:r>
        <w:rPr>
          <w:color w:val="auto"/>
          <w:sz w:val="21"/>
          <w:szCs w:val="21"/>
        </w:rPr>
        <w:t>工程施工总承包</w:t>
      </w:r>
      <w:r>
        <w:rPr>
          <w:rFonts w:hint="eastAsia"/>
          <w:color w:val="auto"/>
          <w:sz w:val="21"/>
          <w:szCs w:val="21"/>
          <w:lang w:eastAsia="zh-CN"/>
        </w:rPr>
        <w:t>贰</w:t>
      </w:r>
      <w:r>
        <w:rPr>
          <w:color w:val="auto"/>
          <w:sz w:val="21"/>
          <w:szCs w:val="21"/>
        </w:rPr>
        <w:t>级及以上资质</w:t>
      </w:r>
      <w:r>
        <w:rPr>
          <w:rFonts w:hint="eastAsia"/>
          <w:color w:val="auto"/>
          <w:sz w:val="21"/>
          <w:szCs w:val="21"/>
        </w:rPr>
        <w:t>；</w:t>
      </w:r>
      <w:r>
        <w:rPr>
          <w:color w:val="auto"/>
          <w:sz w:val="21"/>
          <w:szCs w:val="21"/>
        </w:rPr>
        <w:t>资质证书及安全生产许可证处于有效期；</w:t>
      </w:r>
    </w:p>
    <w:p>
      <w:pPr>
        <w:widowControl/>
        <w:autoSpaceDE/>
        <w:autoSpaceDN/>
        <w:spacing w:line="420" w:lineRule="exact"/>
        <w:ind w:firstLine="420" w:firstLineChars="200"/>
        <w:rPr>
          <w:color w:val="auto"/>
          <w:sz w:val="21"/>
          <w:szCs w:val="21"/>
        </w:rPr>
      </w:pPr>
      <w:r>
        <w:rPr>
          <w:rFonts w:hint="eastAsia"/>
          <w:color w:val="auto"/>
          <w:sz w:val="21"/>
          <w:szCs w:val="21"/>
          <w:lang w:val="en-US"/>
        </w:rPr>
        <w:t>3、</w:t>
      </w:r>
      <w:r>
        <w:rPr>
          <w:color w:val="auto"/>
          <w:sz w:val="21"/>
          <w:szCs w:val="21"/>
        </w:rPr>
        <w:t>拟任项目</w:t>
      </w:r>
      <w:r>
        <w:rPr>
          <w:rFonts w:hint="eastAsia"/>
          <w:color w:val="auto"/>
          <w:sz w:val="21"/>
          <w:szCs w:val="21"/>
        </w:rPr>
        <w:t>负责人（兼任施工负责人）</w:t>
      </w:r>
      <w:r>
        <w:rPr>
          <w:color w:val="auto"/>
          <w:sz w:val="21"/>
          <w:szCs w:val="21"/>
        </w:rPr>
        <w:t>具备</w:t>
      </w:r>
      <w:r>
        <w:rPr>
          <w:rFonts w:hint="eastAsia"/>
          <w:color w:val="auto"/>
          <w:sz w:val="21"/>
          <w:szCs w:val="21"/>
        </w:rPr>
        <w:t>市政公用</w:t>
      </w:r>
      <w:r>
        <w:rPr>
          <w:color w:val="auto"/>
          <w:sz w:val="21"/>
          <w:szCs w:val="21"/>
        </w:rPr>
        <w:t>工程</w:t>
      </w:r>
      <w:r>
        <w:rPr>
          <w:rFonts w:hint="eastAsia"/>
          <w:color w:val="auto"/>
          <w:sz w:val="21"/>
          <w:szCs w:val="21"/>
          <w:lang w:eastAsia="zh-CN"/>
        </w:rPr>
        <w:t>专业</w:t>
      </w:r>
      <w:r>
        <w:rPr>
          <w:rFonts w:hint="eastAsia"/>
          <w:color w:val="auto"/>
          <w:sz w:val="21"/>
          <w:szCs w:val="21"/>
        </w:rPr>
        <w:t>贰级及以上</w:t>
      </w:r>
      <w:r>
        <w:rPr>
          <w:color w:val="auto"/>
          <w:sz w:val="21"/>
          <w:szCs w:val="21"/>
        </w:rPr>
        <w:t>注册建造师</w:t>
      </w:r>
      <w:r>
        <w:rPr>
          <w:rFonts w:hint="eastAsia"/>
          <w:color w:val="auto"/>
          <w:sz w:val="21"/>
          <w:szCs w:val="21"/>
          <w:lang w:eastAsia="zh-CN"/>
        </w:rPr>
        <w:t>资格</w:t>
      </w:r>
      <w:r>
        <w:rPr>
          <w:color w:val="auto"/>
          <w:sz w:val="21"/>
          <w:szCs w:val="21"/>
        </w:rPr>
        <w:t>，具备项目负责人安全生产考核合格证书，且未在其他建设工程项目中担任同类职务；</w:t>
      </w:r>
      <w:r>
        <w:rPr>
          <w:rFonts w:hint="eastAsia"/>
          <w:color w:val="auto"/>
          <w:sz w:val="21"/>
          <w:szCs w:val="21"/>
        </w:rPr>
        <w:t xml:space="preserve"> </w:t>
      </w:r>
    </w:p>
    <w:p>
      <w:pPr>
        <w:widowControl/>
        <w:autoSpaceDE/>
        <w:autoSpaceDN/>
        <w:spacing w:line="420" w:lineRule="exact"/>
        <w:ind w:firstLine="420" w:firstLineChars="200"/>
        <w:rPr>
          <w:color w:val="auto"/>
          <w:sz w:val="21"/>
          <w:szCs w:val="21"/>
        </w:rPr>
      </w:pPr>
      <w:r>
        <w:rPr>
          <w:rFonts w:hint="eastAsia"/>
          <w:color w:val="auto"/>
          <w:sz w:val="21"/>
          <w:szCs w:val="21"/>
          <w:lang w:val="en-US" w:eastAsia="zh-CN"/>
        </w:rPr>
        <w:t>4、</w:t>
      </w:r>
      <w:r>
        <w:rPr>
          <w:color w:val="auto"/>
          <w:sz w:val="21"/>
          <w:szCs w:val="21"/>
        </w:rPr>
        <w:t>拟任施工技术负责人具备</w:t>
      </w:r>
      <w:r>
        <w:rPr>
          <w:rFonts w:hint="eastAsia"/>
          <w:color w:val="auto"/>
          <w:sz w:val="21"/>
          <w:szCs w:val="21"/>
        </w:rPr>
        <w:t>市政公用</w:t>
      </w:r>
      <w:r>
        <w:rPr>
          <w:color w:val="auto"/>
          <w:sz w:val="21"/>
          <w:szCs w:val="21"/>
        </w:rPr>
        <w:t>工程相关专业</w:t>
      </w:r>
      <w:r>
        <w:rPr>
          <w:rFonts w:hint="eastAsia"/>
          <w:color w:val="auto"/>
          <w:sz w:val="21"/>
          <w:szCs w:val="21"/>
          <w:lang w:eastAsia="zh-CN"/>
        </w:rPr>
        <w:t>中级</w:t>
      </w:r>
      <w:r>
        <w:rPr>
          <w:color w:val="auto"/>
          <w:sz w:val="21"/>
          <w:szCs w:val="21"/>
        </w:rPr>
        <w:t>工程师及以上职称；拟任设计负责人具备国家贰级及以上注册建筑师资格</w:t>
      </w:r>
      <w:r>
        <w:rPr>
          <w:rFonts w:hint="eastAsia"/>
          <w:color w:val="auto"/>
          <w:sz w:val="21"/>
          <w:szCs w:val="21"/>
          <w:lang w:eastAsia="zh-CN"/>
        </w:rPr>
        <w:t>或注册公用设备工程师（道路工程）</w:t>
      </w:r>
      <w:r>
        <w:rPr>
          <w:color w:val="auto"/>
          <w:sz w:val="21"/>
          <w:szCs w:val="21"/>
        </w:rPr>
        <w:t>；</w:t>
      </w:r>
    </w:p>
    <w:p>
      <w:pPr>
        <w:widowControl/>
        <w:autoSpaceDE/>
        <w:autoSpaceDN/>
        <w:spacing w:line="420" w:lineRule="exact"/>
        <w:ind w:firstLine="420" w:firstLineChars="200"/>
        <w:rPr>
          <w:color w:val="auto"/>
          <w:sz w:val="21"/>
          <w:szCs w:val="21"/>
          <w:lang w:val="en-US"/>
        </w:rPr>
      </w:pPr>
      <w:r>
        <w:rPr>
          <w:color w:val="auto"/>
          <w:sz w:val="21"/>
          <w:szCs w:val="21"/>
        </w:rPr>
        <w:t>5、本次招标 ▉接受联合体投标，联合体投标的相关要求见投标人须知前附表</w:t>
      </w:r>
    </w:p>
    <w:p>
      <w:pPr>
        <w:widowControl/>
        <w:autoSpaceDE/>
        <w:autoSpaceDN/>
        <w:spacing w:line="420" w:lineRule="exact"/>
        <w:ind w:firstLine="420" w:firstLineChars="200"/>
        <w:rPr>
          <w:color w:val="auto"/>
          <w:sz w:val="21"/>
          <w:szCs w:val="21"/>
          <w:lang w:val="en-US"/>
        </w:rPr>
      </w:pPr>
      <w:r>
        <w:rPr>
          <w:rFonts w:hint="eastAsia"/>
          <w:color w:val="auto"/>
          <w:sz w:val="21"/>
          <w:szCs w:val="21"/>
          <w:lang w:val="en-US"/>
        </w:rPr>
        <w:t xml:space="preserve">            </w:t>
      </w:r>
      <w:r>
        <w:rPr>
          <w:rFonts w:hint="eastAsia"/>
          <w:color w:val="auto"/>
          <w:sz w:val="21"/>
          <w:szCs w:val="21"/>
          <w:lang w:eastAsia="zh-CN"/>
        </w:rPr>
        <w:t>□</w:t>
      </w:r>
      <w:r>
        <w:rPr>
          <w:color w:val="auto"/>
          <w:sz w:val="21"/>
          <w:szCs w:val="21"/>
        </w:rPr>
        <w:t xml:space="preserve">不接受联合体投标 </w:t>
      </w:r>
    </w:p>
    <w:p>
      <w:pPr>
        <w:widowControl/>
        <w:autoSpaceDE/>
        <w:autoSpaceDN/>
        <w:spacing w:line="420" w:lineRule="exact"/>
        <w:ind w:firstLine="420" w:firstLineChars="200"/>
        <w:rPr>
          <w:color w:val="auto"/>
          <w:sz w:val="21"/>
          <w:szCs w:val="21"/>
        </w:rPr>
      </w:pPr>
      <w:r>
        <w:rPr>
          <w:color w:val="auto"/>
          <w:sz w:val="21"/>
          <w:szCs w:val="21"/>
        </w:rPr>
        <w:t xml:space="preserve">6、类似项目业绩要求： </w:t>
      </w:r>
    </w:p>
    <w:p>
      <w:pPr>
        <w:widowControl/>
        <w:autoSpaceDE/>
        <w:autoSpaceDN/>
        <w:spacing w:line="420" w:lineRule="exact"/>
        <w:ind w:firstLine="420" w:firstLineChars="200"/>
        <w:rPr>
          <w:color w:val="auto"/>
          <w:sz w:val="21"/>
          <w:szCs w:val="21"/>
        </w:rPr>
      </w:pPr>
      <w:r>
        <w:rPr>
          <w:color w:val="auto"/>
          <w:sz w:val="21"/>
          <w:szCs w:val="21"/>
        </w:rPr>
        <w:t xml:space="preserve">□不要求，  </w:t>
      </w:r>
    </w:p>
    <w:p>
      <w:pPr>
        <w:widowControl/>
        <w:autoSpaceDE/>
        <w:autoSpaceDN/>
        <w:spacing w:line="420" w:lineRule="exact"/>
        <w:ind w:firstLine="420" w:firstLineChars="200"/>
        <w:rPr>
          <w:color w:val="auto"/>
          <w:sz w:val="21"/>
          <w:szCs w:val="21"/>
        </w:rPr>
      </w:pPr>
      <w:r>
        <w:rPr>
          <w:color w:val="auto"/>
          <w:sz w:val="21"/>
          <w:szCs w:val="21"/>
        </w:rPr>
        <w:t xml:space="preserve">▉ 要求，（由招标人在以下工程业绩中勾选一项） </w:t>
      </w:r>
    </w:p>
    <w:p>
      <w:pPr>
        <w:widowControl/>
        <w:autoSpaceDE/>
        <w:autoSpaceDN/>
        <w:spacing w:line="360" w:lineRule="auto"/>
        <w:ind w:firstLine="420" w:firstLineChars="200"/>
        <w:rPr>
          <w:color w:val="auto"/>
          <w:sz w:val="21"/>
          <w:szCs w:val="21"/>
        </w:rPr>
      </w:pPr>
      <w:r>
        <w:rPr>
          <w:color w:val="auto"/>
          <w:sz w:val="21"/>
          <w:szCs w:val="21"/>
        </w:rPr>
        <w:t xml:space="preserve">▉企业承担过1项类似项目； □ 拟任项目经理承担过1项类似项目 </w:t>
      </w:r>
    </w:p>
    <w:p>
      <w:pPr>
        <w:widowControl/>
        <w:autoSpaceDE/>
        <w:autoSpaceDN/>
        <w:spacing w:line="360" w:lineRule="auto"/>
        <w:ind w:firstLine="420" w:firstLineChars="200"/>
        <w:rPr>
          <w:color w:val="auto"/>
          <w:sz w:val="21"/>
          <w:szCs w:val="21"/>
        </w:rPr>
      </w:pPr>
      <w:r>
        <w:rPr>
          <w:rFonts w:hint="eastAsia"/>
          <w:color w:val="auto"/>
          <w:sz w:val="21"/>
          <w:szCs w:val="21"/>
          <w:lang w:val="en-US" w:eastAsia="zh-CN"/>
        </w:rPr>
        <w:t>参与投标的工程总承包单位在</w:t>
      </w:r>
      <w:r>
        <w:rPr>
          <w:color w:val="auto"/>
          <w:sz w:val="21"/>
          <w:szCs w:val="21"/>
          <w:lang w:val="en-US"/>
        </w:rPr>
        <w:t>投标截止时间前36个月</w:t>
      </w:r>
      <w:r>
        <w:rPr>
          <w:rFonts w:hint="eastAsia"/>
          <w:color w:val="auto"/>
          <w:sz w:val="21"/>
          <w:szCs w:val="21"/>
          <w:lang w:val="en-US"/>
        </w:rPr>
        <w:t>内承担过</w:t>
      </w:r>
      <w:r>
        <w:rPr>
          <w:rFonts w:hint="eastAsia"/>
          <w:color w:val="auto"/>
          <w:sz w:val="21"/>
          <w:szCs w:val="21"/>
          <w:lang w:val="en-US" w:eastAsia="zh-CN"/>
        </w:rPr>
        <w:t>单项建安工程规模在1000万元及以上的市政公用工程的设计、施工或EPC业绩。</w:t>
      </w:r>
      <w:r>
        <w:rPr>
          <w:color w:val="auto"/>
          <w:sz w:val="21"/>
          <w:szCs w:val="21"/>
          <w:lang w:val="en-US"/>
        </w:rPr>
        <w:t>（业绩</w:t>
      </w:r>
      <w:r>
        <w:rPr>
          <w:rFonts w:hint="eastAsia"/>
          <w:color w:val="auto"/>
          <w:sz w:val="21"/>
          <w:szCs w:val="21"/>
          <w:lang w:val="en-US"/>
        </w:rPr>
        <w:t>应当</w:t>
      </w:r>
      <w:r>
        <w:rPr>
          <w:color w:val="auto"/>
          <w:sz w:val="21"/>
          <w:szCs w:val="21"/>
          <w:lang w:val="en-US"/>
        </w:rPr>
        <w:t>同时提供中标通知书</w:t>
      </w:r>
      <w:r>
        <w:rPr>
          <w:rFonts w:hint="eastAsia"/>
          <w:color w:val="auto"/>
          <w:sz w:val="21"/>
          <w:szCs w:val="21"/>
          <w:lang w:val="en-US"/>
        </w:rPr>
        <w:t>（招标工程）</w:t>
      </w:r>
      <w:r>
        <w:rPr>
          <w:color w:val="auto"/>
          <w:sz w:val="21"/>
          <w:szCs w:val="21"/>
          <w:lang w:val="en-US"/>
        </w:rPr>
        <w:t>、</w:t>
      </w:r>
      <w:r>
        <w:rPr>
          <w:rFonts w:hint="eastAsia"/>
          <w:color w:val="auto"/>
          <w:sz w:val="21"/>
          <w:szCs w:val="21"/>
          <w:lang w:val="en-US"/>
        </w:rPr>
        <w:t>合同协议书，施工业绩还应提供</w:t>
      </w:r>
      <w:r>
        <w:rPr>
          <w:color w:val="auto"/>
          <w:sz w:val="21"/>
          <w:szCs w:val="21"/>
          <w:lang w:val="en-US"/>
        </w:rPr>
        <w:t>经建设工程质量监督部门签字确认</w:t>
      </w:r>
      <w:r>
        <w:rPr>
          <w:rFonts w:hint="eastAsia"/>
          <w:color w:val="auto"/>
          <w:sz w:val="21"/>
          <w:szCs w:val="21"/>
          <w:lang w:val="en-US"/>
        </w:rPr>
        <w:t>的</w:t>
      </w:r>
      <w:r>
        <w:rPr>
          <w:color w:val="auto"/>
          <w:sz w:val="21"/>
          <w:szCs w:val="21"/>
          <w:lang w:val="en-US"/>
        </w:rPr>
        <w:t>竣工验收备案表或由建设方、施工方、监理方、设计方盖章认可</w:t>
      </w:r>
      <w:r>
        <w:rPr>
          <w:rFonts w:hint="eastAsia"/>
          <w:color w:val="auto"/>
          <w:sz w:val="21"/>
          <w:szCs w:val="21"/>
          <w:lang w:val="en-US"/>
        </w:rPr>
        <w:t>的</w:t>
      </w:r>
      <w:r>
        <w:rPr>
          <w:color w:val="auto"/>
          <w:sz w:val="21"/>
          <w:szCs w:val="21"/>
          <w:lang w:val="en-US"/>
        </w:rPr>
        <w:t>竣工验收证明，</w:t>
      </w:r>
      <w:r>
        <w:rPr>
          <w:rFonts w:hint="eastAsia"/>
          <w:color w:val="auto"/>
          <w:sz w:val="21"/>
          <w:szCs w:val="21"/>
          <w:lang w:val="en-US"/>
        </w:rPr>
        <w:t>施工业绩</w:t>
      </w:r>
      <w:r>
        <w:rPr>
          <w:color w:val="auto"/>
          <w:sz w:val="21"/>
          <w:szCs w:val="21"/>
          <w:lang w:val="en-US"/>
        </w:rPr>
        <w:t>时间以竣工验收备案登记表或竣工验收证明上建设单位签字的时间为准</w:t>
      </w:r>
      <w:r>
        <w:rPr>
          <w:rFonts w:hint="eastAsia"/>
          <w:color w:val="auto"/>
          <w:sz w:val="21"/>
          <w:szCs w:val="21"/>
          <w:lang w:val="en-US"/>
        </w:rPr>
        <w:t>，设计业绩时间以合同协议书签订时间为准</w:t>
      </w:r>
      <w:r>
        <w:rPr>
          <w:rFonts w:hint="eastAsia"/>
          <w:color w:val="auto"/>
          <w:sz w:val="21"/>
          <w:szCs w:val="21"/>
          <w:lang w:val="en-US" w:eastAsia="zh-CN"/>
        </w:rPr>
        <w:t>，并提供相应的佐证材料</w:t>
      </w:r>
      <w:r>
        <w:rPr>
          <w:rFonts w:hint="eastAsia"/>
          <w:color w:val="auto"/>
          <w:sz w:val="21"/>
          <w:szCs w:val="21"/>
          <w:lang w:val="en-US"/>
        </w:rPr>
        <w:t>）。</w:t>
      </w:r>
      <w:r>
        <w:rPr>
          <w:color w:val="auto"/>
          <w:sz w:val="21"/>
          <w:szCs w:val="21"/>
        </w:rPr>
        <w:t xml:space="preserve"> </w:t>
      </w:r>
    </w:p>
    <w:p>
      <w:pPr>
        <w:pStyle w:val="41"/>
        <w:spacing w:before="137"/>
        <w:ind w:left="238" w:firstLine="0"/>
        <w:rPr>
          <w:rFonts w:hint="eastAsia"/>
          <w:color w:val="auto"/>
          <w:lang w:val="zh-CN" w:eastAsia="zh-CN"/>
        </w:rPr>
      </w:pPr>
      <w:bookmarkStart w:id="5" w:name="_Toc13000"/>
      <w:r>
        <w:rPr>
          <w:rFonts w:hint="eastAsia"/>
          <w:color w:val="auto"/>
          <w:lang w:val="zh-CN" w:eastAsia="zh-CN"/>
        </w:rPr>
        <w:t>四、资格审查方式及评标办法</w:t>
      </w:r>
      <w:bookmarkEnd w:id="5"/>
    </w:p>
    <w:p>
      <w:pPr>
        <w:widowControl/>
        <w:autoSpaceDE/>
        <w:autoSpaceDN/>
        <w:spacing w:line="420" w:lineRule="exact"/>
        <w:ind w:firstLine="420" w:firstLineChars="200"/>
        <w:rPr>
          <w:color w:val="auto"/>
        </w:rPr>
      </w:pPr>
      <w:r>
        <w:rPr>
          <w:rFonts w:hint="eastAsia"/>
          <w:color w:val="auto"/>
          <w:sz w:val="21"/>
          <w:szCs w:val="21"/>
          <w:lang w:val="en-US"/>
        </w:rPr>
        <w:t>本项目资格审查采用资格后审方式，评标办法采用“综合评估法”。</w:t>
      </w:r>
    </w:p>
    <w:p>
      <w:pPr>
        <w:pStyle w:val="41"/>
        <w:spacing w:before="137"/>
        <w:ind w:left="238" w:firstLine="0"/>
        <w:rPr>
          <w:rFonts w:hint="eastAsia"/>
          <w:color w:val="auto"/>
          <w:lang w:val="zh-CN" w:eastAsia="zh-CN"/>
        </w:rPr>
      </w:pPr>
      <w:r>
        <w:rPr>
          <w:rFonts w:hint="eastAsia"/>
          <w:color w:val="auto"/>
          <w:lang w:val="zh-CN" w:eastAsia="zh-CN"/>
        </w:rPr>
        <w:t>五、投标保证</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bookmarkStart w:id="6" w:name="_Toc17411"/>
      <w:bookmarkStart w:id="7" w:name="_Toc12957"/>
      <w:r>
        <w:rPr>
          <w:rFonts w:hint="eastAsia"/>
          <w:b w:val="0"/>
          <w:bCs w:val="0"/>
          <w:color w:val="auto"/>
          <w:sz w:val="21"/>
          <w:szCs w:val="21"/>
          <w:lang w:val="en-US" w:eastAsia="zh-CN"/>
        </w:rPr>
        <w:t xml:space="preserve">■要求提交投标担保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1.形式：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（1）□承诺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（2）■现金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（3）□保函：包括：银行业金融机构保函、担保公司担保（□ 融资性担保公司保函 □非融资性担保公司保函）、保险公司保 证保险</w:t>
      </w:r>
    </w:p>
    <w:p>
      <w:pPr>
        <w:keepNext w:val="0"/>
        <w:keepLines w:val="0"/>
        <w:pageBreakBefore w:val="0"/>
        <w:widowControl/>
        <w:kinsoku/>
        <w:wordWrap/>
        <w:overflowPunct/>
        <w:topLinePunct w:val="0"/>
        <w:autoSpaceDE/>
        <w:autoSpaceDN/>
        <w:bidi w:val="0"/>
        <w:adjustRightInd/>
        <w:snapToGrid/>
        <w:spacing w:line="380" w:lineRule="exact"/>
        <w:ind w:firstLine="840" w:firstLineChars="4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□开具保函的单位被列入“建设工程投标担保和履约担保工作示范企业目录”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2.现金和保函的担保金额：人民币贰拾玖万元（￥290000.00 元）。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3.提交方式： </w:t>
      </w:r>
    </w:p>
    <w:p>
      <w:pPr>
        <w:keepNext w:val="0"/>
        <w:keepLines w:val="0"/>
        <w:pageBreakBefore w:val="0"/>
        <w:widowControl/>
        <w:kinsoku/>
        <w:wordWrap/>
        <w:overflowPunct/>
        <w:topLinePunct w:val="0"/>
        <w:autoSpaceDE/>
        <w:autoSpaceDN/>
        <w:bidi w:val="0"/>
        <w:adjustRightInd/>
        <w:snapToGrid/>
        <w:spacing w:line="380" w:lineRule="exact"/>
        <w:ind w:left="628" w:leftChars="190" w:hanging="210" w:hangingChars="1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（1）采用现金的，由投标人通过其基本账户转账到达如下账户              </w:t>
      </w:r>
    </w:p>
    <w:p>
      <w:pPr>
        <w:keepNext w:val="0"/>
        <w:keepLines w:val="0"/>
        <w:pageBreakBefore w:val="0"/>
        <w:widowControl/>
        <w:kinsoku/>
        <w:wordWrap/>
        <w:overflowPunct/>
        <w:topLinePunct w:val="0"/>
        <w:autoSpaceDE/>
        <w:autoSpaceDN/>
        <w:bidi w:val="0"/>
        <w:adjustRightInd/>
        <w:snapToGrid/>
        <w:spacing w:line="380" w:lineRule="exact"/>
        <w:ind w:left="628" w:leftChars="190" w:hanging="210" w:hangingChars="1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户    名： 岳阳市公共资源交易中心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开户银行： 投标人在网上可自行选择保证金专户银行账户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账    号： 投标人随机获取对应本项目投标保证金子账号（具有投标资格有意参加投标的，在岳阳市公共资源交易中心网上下载本项目的招标文件后，须在 2020年12月18日至 2020年12月24日17时 00 分前获取该子账号）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投标保证金到账截止时间：2021年1月15日12时00分（北京时间）前到账，以银行到账或保险保函投保成功时间为准，开标时现场查验。</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（2）采用承诺或保函的，符合招标文件第八章投标文件格式9 条款号 条款名称 编列内容 第一节“投标函格式”规定，并将承诺或者保函原件单独密封，随投 标文件一同提交。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4..联合体投标的，由牵头人递交。 </w:t>
      </w:r>
    </w:p>
    <w:p>
      <w:pPr>
        <w:pStyle w:val="41"/>
        <w:spacing w:before="137"/>
        <w:ind w:left="238" w:firstLine="0"/>
        <w:rPr>
          <w:rFonts w:hint="default"/>
          <w:color w:val="auto"/>
          <w:lang w:val="en-US" w:eastAsia="zh-CN"/>
        </w:rPr>
      </w:pPr>
      <w:r>
        <w:rPr>
          <w:rFonts w:hint="eastAsia"/>
          <w:color w:val="auto"/>
          <w:lang w:val="en-US" w:eastAsia="zh-CN"/>
        </w:rPr>
        <w:t>六、招标文件的获取</w:t>
      </w:r>
      <w:bookmarkEnd w:id="6"/>
      <w:bookmarkEnd w:id="7"/>
      <w:r>
        <w:rPr>
          <w:rFonts w:hint="eastAsia"/>
          <w:color w:val="auto"/>
          <w:lang w:val="en-US" w:eastAsia="zh-CN"/>
        </w:rPr>
        <w:t xml:space="preserve"> </w:t>
      </w:r>
      <w:r>
        <w:rPr>
          <w:rFonts w:hint="eastAsia"/>
          <w:b w:val="0"/>
          <w:bCs w:val="0"/>
          <w:color w:val="auto"/>
          <w:sz w:val="21"/>
          <w:szCs w:val="21"/>
          <w:lang w:val="en-US" w:eastAsia="zh-CN"/>
        </w:rPr>
        <w:t xml:space="preserve">  </w:t>
      </w:r>
    </w:p>
    <w:p>
      <w:pPr>
        <w:widowControl/>
        <w:autoSpaceDE/>
        <w:autoSpaceDN/>
        <w:spacing w:line="420" w:lineRule="exact"/>
        <w:ind w:firstLine="420" w:firstLineChars="200"/>
        <w:rPr>
          <w:rFonts w:hint="eastAsia"/>
          <w:b w:val="0"/>
          <w:bCs w:val="0"/>
          <w:color w:val="auto"/>
          <w:sz w:val="21"/>
          <w:szCs w:val="21"/>
          <w:lang w:val="en-US" w:eastAsia="zh-CN"/>
        </w:rPr>
      </w:pPr>
      <w:bookmarkStart w:id="8" w:name="_Toc152045516"/>
      <w:bookmarkStart w:id="9" w:name="_Toc3064"/>
      <w:bookmarkStart w:id="10" w:name="_Toc8500"/>
      <w:bookmarkStart w:id="11" w:name="_Toc152042292"/>
      <w:bookmarkStart w:id="12" w:name="_Toc247513938"/>
      <w:bookmarkStart w:id="13" w:name="_Toc247527539"/>
      <w:bookmarkStart w:id="14" w:name="_Toc144974484"/>
      <w:r>
        <w:rPr>
          <w:rFonts w:hint="eastAsia"/>
          <w:b w:val="0"/>
          <w:bCs w:val="0"/>
          <w:color w:val="auto"/>
          <w:sz w:val="21"/>
          <w:szCs w:val="21"/>
          <w:lang w:val="en-US" w:eastAsia="zh-CN"/>
        </w:rPr>
        <w:t>1、有投标意愿者，请于2020年12月18日至2020年12月24日（北京时间，下同）在岳阳市公共资源交易网、岳阳市住房和城乡建设局网下载数据电文形式的招标文件及其它相关资料。招标人加载至招标投标交易平台的招标文件与其提供的书面招标文件具有同等效力。</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2、本招标项目采用电子招标投标方式，投标人应当在岳阳市公共资源交易中心进行注册登记和CA认证。按照相关要求完成本项目的网上投标确认。</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3、投标人须先登陆岳阳市公共资源交易网(</w:t>
      </w: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HYPERLINK "http://ggzy.yueyang.gov.cn/"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http://ggzy.yueyang.gov.cn/</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)按相关操作说明办理CA数字证书，填报企业基本信息完成注册后下载招标文件等相关资料；</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4、招标文件售价：人民币500元/本，只支持网银支付。</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5、澄清答疑采用网上发布方式。招标人对招标相关的修改以及澄清与答疑均在投标人须知前附表规定的网站上发布，投标人应自行下载/获取澄清答疑等相关招标资料，恕不另行通知。投标人应及时关注网上相关招标信息，如有遗漏（包括但不限于文件未下载或下载不完整）招标人概不负责，所造成的投标失败或损失由投标人自行负责。</w:t>
      </w:r>
    </w:p>
    <w:p>
      <w:pPr>
        <w:pStyle w:val="41"/>
        <w:spacing w:before="137"/>
        <w:ind w:left="238" w:firstLine="0"/>
        <w:rPr>
          <w:rFonts w:hint="eastAsia"/>
          <w:color w:val="auto"/>
          <w:lang w:val="en-US" w:eastAsia="zh-CN"/>
        </w:rPr>
      </w:pPr>
      <w:r>
        <w:rPr>
          <w:rFonts w:hint="eastAsia"/>
          <w:color w:val="auto"/>
          <w:lang w:val="en-US" w:eastAsia="zh-CN"/>
        </w:rPr>
        <w:t>七、投标文件的递交</w:t>
      </w:r>
      <w:bookmarkEnd w:id="8"/>
      <w:bookmarkEnd w:id="9"/>
      <w:bookmarkEnd w:id="10"/>
      <w:bookmarkEnd w:id="11"/>
      <w:bookmarkEnd w:id="12"/>
      <w:bookmarkEnd w:id="13"/>
      <w:bookmarkEnd w:id="14"/>
      <w:r>
        <w:rPr>
          <w:rFonts w:hint="eastAsia"/>
          <w:color w:val="auto"/>
          <w:lang w:val="en-US" w:eastAsia="zh-CN"/>
        </w:rPr>
        <w:t>及解密</w:t>
      </w:r>
    </w:p>
    <w:p>
      <w:pPr>
        <w:widowControl/>
        <w:autoSpaceDE/>
        <w:autoSpaceDN/>
        <w:spacing w:line="420" w:lineRule="exact"/>
        <w:ind w:firstLine="420" w:firstLineChars="200"/>
        <w:rPr>
          <w:rFonts w:hint="eastAsia"/>
          <w:b w:val="0"/>
          <w:bCs w:val="0"/>
          <w:color w:val="auto"/>
          <w:sz w:val="21"/>
          <w:szCs w:val="21"/>
          <w:lang w:val="en-US" w:eastAsia="zh-CN"/>
        </w:rPr>
      </w:pPr>
      <w:bookmarkStart w:id="15" w:name="_Toc247527540"/>
      <w:bookmarkStart w:id="16" w:name="_Toc157499355"/>
      <w:bookmarkStart w:id="17" w:name="_Toc13589"/>
      <w:bookmarkStart w:id="18" w:name="_Toc247513939"/>
      <w:r>
        <w:rPr>
          <w:rFonts w:hint="eastAsia"/>
          <w:b w:val="0"/>
          <w:bCs w:val="0"/>
          <w:color w:val="auto"/>
          <w:sz w:val="21"/>
          <w:szCs w:val="21"/>
          <w:lang w:val="en-US" w:eastAsia="zh-CN"/>
        </w:rPr>
        <w:t>1、电子投标文件递交的截止时间（即：投标截止时间，下同）及开标时间为 2021年1月18日13时30  分。请投标人在岳阳市公共资源交易网（http://ggzy.yueyang.gov.cn）下载电子投标文件制作工具编制投标文件。投标人应在投标截止时间前通过电子招标投标交易平台递交数据电文形式的投标文件。逾期送达的投标文件，电子招标投标交易平台予以拒收。</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2、电子投标文件的解密截止时间为 2021 年 1月18日14 时00分（投标截止时间后 30 分钟内）。请投标人确保投标文件如期解密。在开标现场解密的，请投标人自备解密电脑和网络。</w:t>
      </w:r>
    </w:p>
    <w:p>
      <w:pPr>
        <w:widowControl/>
        <w:autoSpaceDE/>
        <w:autoSpaceDN/>
        <w:spacing w:line="42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3、投标人如遇到操作问题，请咨询市公共资源交易中心信息技术科 0730-2966692。</w:t>
      </w:r>
    </w:p>
    <w:p>
      <w:pPr>
        <w:pStyle w:val="41"/>
        <w:spacing w:before="137"/>
        <w:ind w:left="238" w:firstLine="0"/>
        <w:rPr>
          <w:rFonts w:hint="eastAsia"/>
          <w:color w:val="auto"/>
          <w:lang w:val="en-US" w:eastAsia="zh-CN"/>
        </w:rPr>
      </w:pPr>
      <w:bookmarkStart w:id="19" w:name="_Toc18758"/>
      <w:r>
        <w:rPr>
          <w:rFonts w:hint="eastAsia"/>
          <w:color w:val="auto"/>
          <w:lang w:val="en-US" w:eastAsia="zh-CN"/>
        </w:rPr>
        <w:t>八、发布公告的媒介</w:t>
      </w:r>
      <w:bookmarkEnd w:id="15"/>
      <w:bookmarkEnd w:id="16"/>
      <w:bookmarkEnd w:id="17"/>
      <w:bookmarkEnd w:id="18"/>
      <w:bookmarkEnd w:id="19"/>
    </w:p>
    <w:p>
      <w:pPr>
        <w:widowControl/>
        <w:autoSpaceDE/>
        <w:autoSpaceDN/>
        <w:spacing w:line="420" w:lineRule="exact"/>
        <w:ind w:firstLine="420" w:firstLineChars="200"/>
        <w:rPr>
          <w:rFonts w:hint="eastAsia"/>
          <w:b w:val="0"/>
          <w:bCs w:val="0"/>
          <w:color w:val="auto"/>
          <w:sz w:val="21"/>
          <w:szCs w:val="21"/>
          <w:lang w:val="en-US"/>
        </w:rPr>
      </w:pPr>
      <w:r>
        <w:rPr>
          <w:rFonts w:hint="eastAsia"/>
          <w:b w:val="0"/>
          <w:bCs w:val="0"/>
          <w:color w:val="auto"/>
          <w:sz w:val="21"/>
          <w:szCs w:val="21"/>
          <w:lang w:val="en-US"/>
        </w:rPr>
        <w:t>本次招标公告同时在湖南省招标投标监管网、岳阳市</w:t>
      </w:r>
      <w:r>
        <w:rPr>
          <w:rFonts w:hint="eastAsia"/>
          <w:b w:val="0"/>
          <w:bCs w:val="0"/>
          <w:color w:val="auto"/>
          <w:sz w:val="21"/>
          <w:szCs w:val="21"/>
          <w:lang w:val="en-US" w:eastAsia="zh-CN"/>
        </w:rPr>
        <w:t>住房和城乡建设局网</w:t>
      </w:r>
      <w:r>
        <w:rPr>
          <w:rFonts w:hint="eastAsia"/>
          <w:b w:val="0"/>
          <w:bCs w:val="0"/>
          <w:color w:val="auto"/>
          <w:sz w:val="21"/>
          <w:szCs w:val="21"/>
          <w:lang w:val="en-US"/>
        </w:rPr>
        <w:t>、岳阳市公共资源交易网上发布。</w:t>
      </w:r>
    </w:p>
    <w:p>
      <w:pPr>
        <w:pStyle w:val="41"/>
        <w:spacing w:before="137"/>
        <w:ind w:left="238" w:firstLine="0"/>
        <w:rPr>
          <w:rFonts w:hint="eastAsia"/>
          <w:color w:val="auto"/>
          <w:lang w:val="en-US" w:eastAsia="zh-CN"/>
        </w:rPr>
      </w:pPr>
      <w:bookmarkStart w:id="20" w:name="_Toc26131"/>
      <w:r>
        <w:rPr>
          <w:rFonts w:hint="eastAsia"/>
          <w:color w:val="auto"/>
          <w:lang w:val="en-US" w:eastAsia="zh-CN"/>
        </w:rPr>
        <w:t>九、费用承担和设计成果补偿</w:t>
      </w:r>
      <w:bookmarkEnd w:id="20"/>
    </w:p>
    <w:p>
      <w:pPr>
        <w:widowControl/>
        <w:autoSpaceDE/>
        <w:autoSpaceDN/>
        <w:spacing w:line="420" w:lineRule="exact"/>
        <w:ind w:firstLine="420" w:firstLineChars="200"/>
        <w:rPr>
          <w:rFonts w:hint="eastAsia"/>
          <w:b w:val="0"/>
          <w:bCs w:val="0"/>
          <w:color w:val="auto"/>
          <w:sz w:val="21"/>
          <w:szCs w:val="21"/>
          <w:lang w:val="en-US"/>
        </w:rPr>
      </w:pPr>
      <w:r>
        <w:rPr>
          <w:rFonts w:hint="eastAsia"/>
          <w:b w:val="0"/>
          <w:bCs w:val="0"/>
          <w:color w:val="auto"/>
          <w:sz w:val="21"/>
          <w:szCs w:val="21"/>
          <w:lang w:val="en-US"/>
        </w:rPr>
        <w:t>投标人应承担所有准备和参加投标有关的费用，对参与本次投标的投标人不给予补偿。</w:t>
      </w:r>
    </w:p>
    <w:p>
      <w:pPr>
        <w:pStyle w:val="41"/>
        <w:spacing w:before="137"/>
        <w:ind w:left="238" w:firstLine="0"/>
        <w:rPr>
          <w:rFonts w:hint="eastAsia"/>
          <w:color w:val="auto"/>
          <w:lang w:val="en-US" w:eastAsia="zh-CN"/>
        </w:rPr>
      </w:pPr>
      <w:bookmarkStart w:id="21" w:name="_Toc5329"/>
      <w:bookmarkStart w:id="22" w:name="_Toc490664776"/>
      <w:r>
        <w:rPr>
          <w:rFonts w:hint="eastAsia"/>
          <w:color w:val="auto"/>
          <w:lang w:val="en-US" w:eastAsia="zh-CN"/>
        </w:rPr>
        <w:t>十、行政监督</w:t>
      </w:r>
      <w:bookmarkEnd w:id="21"/>
      <w:bookmarkEnd w:id="22"/>
    </w:p>
    <w:p>
      <w:pPr>
        <w:widowControl/>
        <w:autoSpaceDE/>
        <w:autoSpaceDN/>
        <w:spacing w:line="420" w:lineRule="exact"/>
        <w:ind w:firstLine="420" w:firstLineChars="200"/>
        <w:rPr>
          <w:rFonts w:hint="eastAsia"/>
          <w:b w:val="0"/>
          <w:bCs w:val="0"/>
          <w:color w:val="auto"/>
          <w:sz w:val="21"/>
          <w:szCs w:val="21"/>
          <w:lang w:val="en-US"/>
        </w:rPr>
      </w:pPr>
      <w:r>
        <w:rPr>
          <w:rFonts w:hint="eastAsia"/>
          <w:b w:val="0"/>
          <w:bCs w:val="0"/>
          <w:color w:val="auto"/>
          <w:sz w:val="21"/>
          <w:szCs w:val="21"/>
          <w:lang w:val="en-US"/>
        </w:rPr>
        <w:t>本次招标项目招标投标监督机构为岳阳市建设工程招标投标管理办公室，电话：0730-8216835</w:t>
      </w:r>
    </w:p>
    <w:p>
      <w:pPr>
        <w:pStyle w:val="41"/>
        <w:spacing w:before="137"/>
        <w:ind w:left="238" w:firstLine="0"/>
        <w:rPr>
          <w:rFonts w:hint="eastAsia" w:ascii="宋体" w:hAnsi="宋体" w:eastAsia="宋体" w:cs="宋体"/>
          <w:color w:val="auto"/>
          <w:lang w:val="en-US" w:eastAsia="zh-CN"/>
        </w:rPr>
      </w:pPr>
      <w:bookmarkStart w:id="23" w:name="_Toc27798"/>
      <w:r>
        <w:rPr>
          <w:rFonts w:hint="eastAsia" w:ascii="宋体" w:hAnsi="宋体" w:eastAsia="宋体" w:cs="宋体"/>
          <w:color w:val="auto"/>
          <w:lang w:val="en-US" w:eastAsia="zh-CN"/>
        </w:rPr>
        <w:t>十一、其他</w:t>
      </w:r>
      <w:bookmarkEnd w:id="23"/>
    </w:p>
    <w:p>
      <w:pPr>
        <w:widowControl/>
        <w:autoSpaceDE/>
        <w:autoSpaceDN/>
        <w:spacing w:line="420" w:lineRule="exact"/>
        <w:ind w:firstLine="420" w:firstLineChars="200"/>
        <w:rPr>
          <w:rFonts w:hint="eastAsia"/>
          <w:b w:val="0"/>
          <w:bCs w:val="0"/>
          <w:color w:val="auto"/>
          <w:sz w:val="21"/>
          <w:szCs w:val="21"/>
          <w:lang w:val="en-US"/>
        </w:rPr>
      </w:pPr>
      <w:r>
        <w:rPr>
          <w:rFonts w:hint="eastAsia"/>
          <w:b w:val="0"/>
          <w:bCs w:val="0"/>
          <w:color w:val="auto"/>
          <w:sz w:val="21"/>
          <w:szCs w:val="21"/>
          <w:lang w:val="en-US" w:eastAsia="zh-CN"/>
        </w:rPr>
        <w:t>1、</w:t>
      </w:r>
      <w:r>
        <w:rPr>
          <w:rFonts w:hint="eastAsia"/>
          <w:b w:val="0"/>
          <w:bCs w:val="0"/>
          <w:color w:val="auto"/>
          <w:sz w:val="21"/>
          <w:szCs w:val="21"/>
          <w:lang w:val="en-US"/>
        </w:rPr>
        <w:t>为切实做好疫情防控工作并确保本项目招投工作顺利进行，现采用电子投标文件方式组织开评标工作，各投标人须提交电子投标文件。安排人员在投标截止时间前在线提交电子投标文件，并确保在规定时间内进行解密。</w:t>
      </w:r>
    </w:p>
    <w:p>
      <w:pPr>
        <w:widowControl/>
        <w:autoSpaceDE/>
        <w:autoSpaceDN/>
        <w:spacing w:line="420" w:lineRule="exact"/>
        <w:ind w:firstLine="420" w:firstLineChars="200"/>
        <w:rPr>
          <w:rFonts w:hint="eastAsia"/>
          <w:b w:val="0"/>
          <w:bCs w:val="0"/>
          <w:color w:val="auto"/>
          <w:sz w:val="21"/>
          <w:szCs w:val="21"/>
          <w:lang w:val="en-US"/>
        </w:rPr>
      </w:pPr>
      <w:r>
        <w:rPr>
          <w:rFonts w:hint="eastAsia"/>
          <w:b w:val="0"/>
          <w:bCs w:val="0"/>
          <w:color w:val="auto"/>
          <w:sz w:val="21"/>
          <w:szCs w:val="21"/>
          <w:lang w:val="en-US" w:eastAsia="zh-CN"/>
        </w:rPr>
        <w:t>2、</w:t>
      </w:r>
      <w:r>
        <w:rPr>
          <w:rFonts w:hint="eastAsia"/>
          <w:b w:val="0"/>
          <w:bCs w:val="0"/>
          <w:color w:val="auto"/>
          <w:sz w:val="21"/>
          <w:szCs w:val="21"/>
          <w:lang w:val="en-US"/>
        </w:rPr>
        <w:t>中标单位在领取中标通知书之前，需提供</w:t>
      </w:r>
      <w:r>
        <w:rPr>
          <w:rFonts w:hint="eastAsia"/>
          <w:b w:val="0"/>
          <w:bCs w:val="0"/>
          <w:color w:val="auto"/>
          <w:sz w:val="21"/>
          <w:szCs w:val="21"/>
          <w:lang w:val="en-US" w:eastAsia="zh-CN"/>
        </w:rPr>
        <w:t>五</w:t>
      </w:r>
      <w:r>
        <w:rPr>
          <w:rFonts w:hint="eastAsia"/>
          <w:b w:val="0"/>
          <w:bCs w:val="0"/>
          <w:color w:val="auto"/>
          <w:sz w:val="21"/>
          <w:szCs w:val="21"/>
          <w:lang w:val="en-US"/>
        </w:rPr>
        <w:t>套完整的纸质投标文件</w:t>
      </w:r>
      <w:r>
        <w:rPr>
          <w:rFonts w:hint="eastAsia"/>
          <w:b w:val="0"/>
          <w:bCs w:val="0"/>
          <w:color w:val="auto"/>
          <w:sz w:val="21"/>
          <w:szCs w:val="21"/>
          <w:lang w:val="en-US" w:eastAsia="zh-CN"/>
        </w:rPr>
        <w:t>送至招标代理机构</w:t>
      </w:r>
      <w:r>
        <w:rPr>
          <w:rFonts w:hint="eastAsia"/>
          <w:b w:val="0"/>
          <w:bCs w:val="0"/>
          <w:color w:val="auto"/>
          <w:sz w:val="21"/>
          <w:szCs w:val="21"/>
          <w:lang w:val="en-US"/>
        </w:rPr>
        <w:t xml:space="preserve">用于备案。当提供的纸质文件资料与岳阳市公共资源交易网记录的电子文件资料不一致时，以电子文件资料为准。 </w:t>
      </w:r>
    </w:p>
    <w:p>
      <w:pPr>
        <w:pStyle w:val="41"/>
        <w:spacing w:before="137"/>
        <w:ind w:left="238"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十二、联系方式 </w:t>
      </w:r>
    </w:p>
    <w:p>
      <w:pPr>
        <w:widowControl/>
        <w:autoSpaceDE/>
        <w:autoSpaceDN/>
        <w:spacing w:line="420" w:lineRule="exact"/>
        <w:ind w:firstLine="420" w:firstLineChars="200"/>
        <w:rPr>
          <w:rFonts w:hint="default" w:eastAsia="宋体"/>
          <w:color w:val="auto"/>
          <w:sz w:val="21"/>
          <w:szCs w:val="21"/>
          <w:lang w:eastAsia="zh-CN"/>
        </w:rPr>
      </w:pPr>
      <w:r>
        <w:rPr>
          <w:color w:val="auto"/>
          <w:sz w:val="21"/>
          <w:szCs w:val="21"/>
          <w:lang w:val="en-US"/>
        </w:rPr>
        <w:t>招 标 人：</w:t>
      </w:r>
      <w:r>
        <w:rPr>
          <w:rFonts w:hint="default"/>
          <w:color w:val="auto"/>
          <w:sz w:val="21"/>
          <w:szCs w:val="21"/>
          <w:lang w:eastAsia="zh-CN"/>
        </w:rPr>
        <w:t>岳阳南湖天著置业有限公司</w:t>
      </w:r>
    </w:p>
    <w:p>
      <w:pPr>
        <w:widowControl/>
        <w:autoSpaceDE/>
        <w:autoSpaceDN/>
        <w:spacing w:line="420" w:lineRule="exact"/>
        <w:ind w:firstLine="420" w:firstLineChars="200"/>
        <w:rPr>
          <w:color w:val="auto"/>
          <w:sz w:val="21"/>
          <w:szCs w:val="21"/>
          <w:lang w:val="en-US"/>
        </w:rPr>
      </w:pPr>
      <w:r>
        <w:rPr>
          <w:color w:val="auto"/>
          <w:sz w:val="21"/>
          <w:szCs w:val="21"/>
          <w:lang w:val="en-US"/>
        </w:rPr>
        <w:t>联 系 人：</w:t>
      </w:r>
      <w:r>
        <w:rPr>
          <w:rFonts w:hint="eastAsia"/>
          <w:color w:val="auto"/>
          <w:sz w:val="21"/>
          <w:szCs w:val="21"/>
          <w:lang w:val="en-US" w:eastAsia="zh-CN"/>
        </w:rPr>
        <w:t xml:space="preserve">孟先生 </w:t>
      </w:r>
      <w:r>
        <w:rPr>
          <w:rFonts w:hint="eastAsia"/>
          <w:color w:val="auto"/>
          <w:sz w:val="21"/>
          <w:szCs w:val="21"/>
          <w:lang w:val="en-US"/>
        </w:rPr>
        <w:t xml:space="preserve">   </w:t>
      </w:r>
    </w:p>
    <w:p>
      <w:pPr>
        <w:widowControl/>
        <w:autoSpaceDE/>
        <w:autoSpaceDN/>
        <w:spacing w:line="420" w:lineRule="exact"/>
        <w:ind w:firstLine="420" w:firstLineChars="200"/>
        <w:rPr>
          <w:rFonts w:hint="eastAsia" w:eastAsia="宋体"/>
          <w:color w:val="auto"/>
          <w:sz w:val="21"/>
          <w:szCs w:val="21"/>
          <w:lang w:val="en-US" w:eastAsia="zh-CN"/>
        </w:rPr>
      </w:pPr>
      <w:r>
        <w:rPr>
          <w:color w:val="auto"/>
          <w:sz w:val="21"/>
          <w:szCs w:val="21"/>
          <w:lang w:val="en-US"/>
        </w:rPr>
        <w:t xml:space="preserve">电 </w:t>
      </w:r>
      <w:r>
        <w:rPr>
          <w:rFonts w:hint="eastAsia"/>
          <w:color w:val="auto"/>
          <w:sz w:val="21"/>
          <w:szCs w:val="21"/>
          <w:lang w:val="en-US"/>
        </w:rPr>
        <w:t xml:space="preserve">   </w:t>
      </w:r>
      <w:r>
        <w:rPr>
          <w:color w:val="auto"/>
          <w:sz w:val="21"/>
          <w:szCs w:val="21"/>
          <w:lang w:val="en-US"/>
        </w:rPr>
        <w:t>话：</w:t>
      </w:r>
      <w:r>
        <w:rPr>
          <w:rFonts w:hint="eastAsia"/>
          <w:color w:val="auto"/>
          <w:sz w:val="21"/>
          <w:szCs w:val="21"/>
          <w:lang w:val="en-US" w:eastAsia="zh-CN"/>
        </w:rPr>
        <w:t xml:space="preserve">15274493228 </w:t>
      </w:r>
    </w:p>
    <w:p>
      <w:pPr>
        <w:widowControl/>
        <w:autoSpaceDE/>
        <w:autoSpaceDN/>
        <w:spacing w:line="420" w:lineRule="exact"/>
        <w:ind w:firstLine="420" w:firstLineChars="200"/>
        <w:rPr>
          <w:color w:val="auto"/>
          <w:sz w:val="21"/>
          <w:szCs w:val="21"/>
          <w:lang w:val="en-US"/>
        </w:rPr>
      </w:pPr>
      <w:r>
        <w:rPr>
          <w:color w:val="auto"/>
          <w:sz w:val="21"/>
          <w:szCs w:val="21"/>
          <w:lang w:val="en-US"/>
        </w:rPr>
        <w:t>招标代理：</w:t>
      </w:r>
      <w:r>
        <w:rPr>
          <w:rFonts w:hint="eastAsia"/>
          <w:color w:val="auto"/>
          <w:sz w:val="21"/>
          <w:szCs w:val="21"/>
          <w:lang w:val="en-US"/>
        </w:rPr>
        <w:t>智埔国际工程咨询有限公司</w:t>
      </w:r>
    </w:p>
    <w:p>
      <w:pPr>
        <w:widowControl/>
        <w:autoSpaceDE/>
        <w:autoSpaceDN/>
        <w:spacing w:line="420" w:lineRule="exact"/>
        <w:ind w:firstLine="420" w:firstLineChars="200"/>
        <w:rPr>
          <w:color w:val="auto"/>
          <w:sz w:val="21"/>
          <w:szCs w:val="21"/>
          <w:lang w:val="en-US"/>
        </w:rPr>
      </w:pPr>
      <w:r>
        <w:rPr>
          <w:color w:val="auto"/>
          <w:sz w:val="21"/>
          <w:szCs w:val="21"/>
          <w:lang w:val="en-US"/>
        </w:rPr>
        <w:t xml:space="preserve">地 </w:t>
      </w:r>
      <w:r>
        <w:rPr>
          <w:rFonts w:hint="eastAsia"/>
          <w:color w:val="auto"/>
          <w:sz w:val="21"/>
          <w:szCs w:val="21"/>
          <w:lang w:val="en-US"/>
        </w:rPr>
        <w:t xml:space="preserve">   </w:t>
      </w:r>
      <w:r>
        <w:rPr>
          <w:color w:val="auto"/>
          <w:sz w:val="21"/>
          <w:szCs w:val="21"/>
          <w:lang w:val="en-US"/>
        </w:rPr>
        <w:t>址：</w:t>
      </w:r>
      <w:r>
        <w:rPr>
          <w:rFonts w:hint="eastAsia"/>
          <w:color w:val="auto"/>
          <w:sz w:val="21"/>
          <w:szCs w:val="21"/>
          <w:lang w:val="en-US"/>
        </w:rPr>
        <w:t>岳阳市岳阳楼区经济技术开发区白石岭北路253号三楼</w:t>
      </w:r>
    </w:p>
    <w:p>
      <w:pPr>
        <w:widowControl/>
        <w:autoSpaceDE/>
        <w:autoSpaceDN/>
        <w:spacing w:line="420" w:lineRule="exact"/>
        <w:ind w:firstLine="420" w:firstLineChars="200"/>
        <w:rPr>
          <w:color w:val="auto"/>
          <w:sz w:val="21"/>
          <w:szCs w:val="21"/>
          <w:lang w:val="en-US"/>
        </w:rPr>
      </w:pPr>
      <w:r>
        <w:rPr>
          <w:color w:val="auto"/>
          <w:sz w:val="21"/>
          <w:szCs w:val="21"/>
          <w:lang w:val="en-US"/>
        </w:rPr>
        <w:t>联 系 人：</w:t>
      </w:r>
      <w:r>
        <w:rPr>
          <w:rFonts w:hint="eastAsia"/>
          <w:color w:val="auto"/>
          <w:sz w:val="21"/>
          <w:szCs w:val="21"/>
          <w:lang w:val="en-US"/>
        </w:rPr>
        <w:t>周女士</w:t>
      </w:r>
    </w:p>
    <w:p>
      <w:pPr>
        <w:widowControl/>
        <w:autoSpaceDE/>
        <w:autoSpaceDN/>
        <w:spacing w:line="420" w:lineRule="exact"/>
        <w:ind w:firstLine="420" w:firstLineChars="200"/>
        <w:rPr>
          <w:color w:val="auto"/>
          <w:sz w:val="21"/>
          <w:szCs w:val="21"/>
          <w:lang w:val="en-US"/>
        </w:rPr>
      </w:pPr>
      <w:r>
        <w:rPr>
          <w:rFonts w:hint="eastAsia"/>
          <w:color w:val="auto"/>
          <w:sz w:val="21"/>
          <w:szCs w:val="21"/>
          <w:lang w:val="en-US"/>
        </w:rPr>
        <w:t>电话：0730-8288658</w:t>
      </w:r>
    </w:p>
    <w:p>
      <w:pPr>
        <w:widowControl/>
        <w:autoSpaceDE/>
        <w:autoSpaceDN/>
        <w:spacing w:line="420" w:lineRule="exact"/>
        <w:ind w:firstLine="420" w:firstLineChars="200"/>
        <w:rPr>
          <w:color w:val="auto"/>
          <w:sz w:val="21"/>
          <w:szCs w:val="21"/>
          <w:lang w:val="en-US"/>
        </w:rPr>
        <w:sectPr>
          <w:headerReference r:id="rId4" w:type="default"/>
          <w:footerReference r:id="rId5" w:type="default"/>
          <w:pgSz w:w="11920" w:h="16850"/>
          <w:pgMar w:top="300" w:right="620" w:bottom="1340" w:left="840" w:header="109" w:footer="1146" w:gutter="0"/>
          <w:pgNumType w:start="1"/>
          <w:cols w:space="720" w:num="1"/>
        </w:sectPr>
      </w:pPr>
    </w:p>
    <w:p>
      <w:pPr>
        <w:tabs>
          <w:tab w:val="left" w:pos="4705"/>
        </w:tabs>
        <w:spacing w:before="44"/>
        <w:ind w:left="3580"/>
        <w:rPr>
          <w:b/>
          <w:color w:val="auto"/>
          <w:sz w:val="28"/>
        </w:rPr>
      </w:pPr>
      <w:bookmarkStart w:id="24" w:name="五、投标文件的递交"/>
      <w:bookmarkEnd w:id="24"/>
      <w:bookmarkStart w:id="25" w:name="四、招标文件的获取"/>
      <w:bookmarkEnd w:id="25"/>
      <w:r>
        <w:rPr>
          <w:b/>
          <w:color w:val="auto"/>
          <w:sz w:val="28"/>
        </w:rPr>
        <w:t>第二章</w:t>
      </w:r>
      <w:r>
        <w:rPr>
          <w:b/>
          <w:color w:val="auto"/>
          <w:sz w:val="28"/>
        </w:rPr>
        <w:tab/>
      </w:r>
      <w:r>
        <w:rPr>
          <w:b/>
          <w:color w:val="auto"/>
          <w:sz w:val="28"/>
        </w:rPr>
        <w:t>投标人须知</w:t>
      </w:r>
    </w:p>
    <w:p>
      <w:pPr>
        <w:spacing w:before="246" w:after="3"/>
        <w:ind w:left="3654"/>
        <w:rPr>
          <w:rFonts w:ascii="黑体" w:eastAsia="黑体"/>
          <w:color w:val="auto"/>
          <w:sz w:val="28"/>
        </w:rPr>
      </w:pPr>
      <w:r>
        <w:rPr>
          <w:rFonts w:hint="eastAsia" w:ascii="黑体" w:eastAsia="黑体"/>
          <w:color w:val="auto"/>
          <w:sz w:val="28"/>
        </w:rPr>
        <w:t>投标人须知前附表</w:t>
      </w:r>
    </w:p>
    <w:tbl>
      <w:tblPr>
        <w:tblStyle w:val="34"/>
        <w:tblW w:w="89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0"/>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6" w:type="dxa"/>
          </w:tcPr>
          <w:p>
            <w:pPr>
              <w:pStyle w:val="45"/>
              <w:spacing w:before="101"/>
              <w:ind w:left="197" w:right="188"/>
              <w:jc w:val="center"/>
              <w:rPr>
                <w:color w:val="auto"/>
                <w:sz w:val="21"/>
              </w:rPr>
            </w:pPr>
            <w:r>
              <w:rPr>
                <w:color w:val="auto"/>
                <w:sz w:val="21"/>
              </w:rPr>
              <w:t>条款号</w:t>
            </w:r>
          </w:p>
        </w:tc>
        <w:tc>
          <w:tcPr>
            <w:tcW w:w="1770" w:type="dxa"/>
          </w:tcPr>
          <w:p>
            <w:pPr>
              <w:pStyle w:val="45"/>
              <w:spacing w:before="101"/>
              <w:ind w:left="7"/>
              <w:jc w:val="center"/>
              <w:rPr>
                <w:color w:val="auto"/>
                <w:sz w:val="21"/>
              </w:rPr>
            </w:pPr>
            <w:r>
              <w:rPr>
                <w:color w:val="auto"/>
                <w:sz w:val="21"/>
              </w:rPr>
              <w:t>条款名称</w:t>
            </w:r>
          </w:p>
        </w:tc>
        <w:tc>
          <w:tcPr>
            <w:tcW w:w="6098" w:type="dxa"/>
          </w:tcPr>
          <w:p>
            <w:pPr>
              <w:pStyle w:val="45"/>
              <w:spacing w:before="101"/>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066" w:type="dxa"/>
          </w:tcPr>
          <w:p>
            <w:pPr>
              <w:pStyle w:val="45"/>
              <w:spacing w:before="12"/>
              <w:rPr>
                <w:rFonts w:ascii="黑体"/>
                <w:color w:val="auto"/>
                <w:sz w:val="27"/>
              </w:rPr>
            </w:pPr>
          </w:p>
          <w:p>
            <w:pPr>
              <w:pStyle w:val="45"/>
              <w:ind w:left="197" w:right="188"/>
              <w:jc w:val="center"/>
              <w:rPr>
                <w:rFonts w:ascii="Times New Roman"/>
                <w:color w:val="auto"/>
                <w:sz w:val="21"/>
              </w:rPr>
            </w:pPr>
            <w:r>
              <w:rPr>
                <w:rFonts w:ascii="Times New Roman"/>
                <w:color w:val="auto"/>
                <w:sz w:val="21"/>
              </w:rPr>
              <w:t>1.1.2</w:t>
            </w:r>
          </w:p>
        </w:tc>
        <w:tc>
          <w:tcPr>
            <w:tcW w:w="1770" w:type="dxa"/>
          </w:tcPr>
          <w:p>
            <w:pPr>
              <w:pStyle w:val="45"/>
              <w:spacing w:before="3"/>
              <w:rPr>
                <w:rFonts w:ascii="黑体"/>
                <w:color w:val="auto"/>
                <w:sz w:val="27"/>
              </w:rPr>
            </w:pPr>
          </w:p>
          <w:p>
            <w:pPr>
              <w:pStyle w:val="45"/>
              <w:ind w:left="9"/>
              <w:jc w:val="center"/>
              <w:rPr>
                <w:color w:val="auto"/>
                <w:sz w:val="21"/>
              </w:rPr>
            </w:pPr>
            <w:r>
              <w:rPr>
                <w:color w:val="auto"/>
                <w:sz w:val="21"/>
              </w:rPr>
              <w:t>招标人</w:t>
            </w:r>
          </w:p>
        </w:tc>
        <w:tc>
          <w:tcPr>
            <w:tcW w:w="6098" w:type="dxa"/>
          </w:tcPr>
          <w:p>
            <w:pPr>
              <w:pStyle w:val="45"/>
              <w:tabs>
                <w:tab w:val="left" w:pos="737"/>
              </w:tabs>
              <w:spacing w:before="1" w:line="240" w:lineRule="auto"/>
              <w:rPr>
                <w:rFonts w:hint="eastAsia" w:eastAsia="宋体"/>
                <w:color w:val="auto"/>
                <w:sz w:val="21"/>
                <w:lang w:eastAsia="zh-CN"/>
              </w:rPr>
            </w:pPr>
            <w:r>
              <w:rPr>
                <w:color w:val="auto"/>
                <w:sz w:val="21"/>
              </w:rPr>
              <w:t>名</w:t>
            </w:r>
            <w:r>
              <w:rPr>
                <w:rFonts w:hint="eastAsia"/>
                <w:color w:val="auto"/>
                <w:sz w:val="21"/>
                <w:lang w:val="en-US" w:eastAsia="zh-CN"/>
              </w:rPr>
              <w:t xml:space="preserve">   </w:t>
            </w:r>
            <w:r>
              <w:rPr>
                <w:color w:val="auto"/>
                <w:sz w:val="21"/>
              </w:rPr>
              <w:t>称：</w:t>
            </w:r>
            <w:r>
              <w:rPr>
                <w:rFonts w:hint="eastAsia"/>
                <w:color w:val="auto"/>
                <w:sz w:val="21"/>
                <w:lang w:val="en-US" w:eastAsia="zh-CN"/>
              </w:rPr>
              <w:t>岳阳南湖天著置业有限公司</w:t>
            </w:r>
          </w:p>
          <w:p>
            <w:pPr>
              <w:widowControl/>
              <w:autoSpaceDE/>
              <w:autoSpaceDN/>
              <w:spacing w:line="240" w:lineRule="auto"/>
              <w:rPr>
                <w:color w:val="auto"/>
                <w:sz w:val="21"/>
                <w:szCs w:val="21"/>
                <w:lang w:val="en-US"/>
              </w:rPr>
            </w:pPr>
            <w:r>
              <w:rPr>
                <w:color w:val="auto"/>
                <w:sz w:val="21"/>
                <w:szCs w:val="21"/>
                <w:lang w:val="en-US"/>
              </w:rPr>
              <w:t>联 系 人：</w:t>
            </w:r>
            <w:r>
              <w:rPr>
                <w:rFonts w:hint="eastAsia"/>
                <w:color w:val="auto"/>
                <w:sz w:val="21"/>
                <w:szCs w:val="21"/>
                <w:lang w:val="en-US" w:eastAsia="zh-CN"/>
              </w:rPr>
              <w:t xml:space="preserve">孟先生 </w:t>
            </w:r>
            <w:r>
              <w:rPr>
                <w:rFonts w:hint="eastAsia"/>
                <w:color w:val="auto"/>
                <w:sz w:val="21"/>
                <w:szCs w:val="21"/>
                <w:lang w:val="en-US"/>
              </w:rPr>
              <w:t xml:space="preserve">   </w:t>
            </w:r>
          </w:p>
          <w:p>
            <w:pPr>
              <w:widowControl/>
              <w:autoSpaceDE/>
              <w:autoSpaceDN/>
              <w:spacing w:line="240" w:lineRule="auto"/>
              <w:rPr>
                <w:rFonts w:hint="eastAsia" w:eastAsia="宋体"/>
                <w:color w:val="auto"/>
                <w:sz w:val="21"/>
                <w:lang w:val="en-US" w:eastAsia="zh-CN"/>
              </w:rPr>
            </w:pPr>
            <w:r>
              <w:rPr>
                <w:color w:val="auto"/>
                <w:sz w:val="21"/>
                <w:szCs w:val="21"/>
                <w:lang w:val="en-US"/>
              </w:rPr>
              <w:t xml:space="preserve">电 </w:t>
            </w:r>
            <w:r>
              <w:rPr>
                <w:rFonts w:hint="eastAsia"/>
                <w:color w:val="auto"/>
                <w:sz w:val="21"/>
                <w:szCs w:val="21"/>
                <w:lang w:val="en-US"/>
              </w:rPr>
              <w:t xml:space="preserve">   </w:t>
            </w:r>
            <w:r>
              <w:rPr>
                <w:color w:val="auto"/>
                <w:sz w:val="21"/>
                <w:szCs w:val="21"/>
                <w:lang w:val="en-US"/>
              </w:rPr>
              <w:t>话：</w:t>
            </w:r>
            <w:r>
              <w:rPr>
                <w:rFonts w:hint="eastAsia"/>
                <w:color w:val="auto"/>
                <w:sz w:val="21"/>
                <w:szCs w:val="21"/>
                <w:lang w:val="en-US" w:eastAsia="zh-CN"/>
              </w:rPr>
              <w:t xml:space="preserve">15274493228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1066" w:type="dxa"/>
          </w:tcPr>
          <w:p>
            <w:pPr>
              <w:pStyle w:val="45"/>
              <w:rPr>
                <w:rFonts w:ascii="黑体"/>
                <w:color w:val="auto"/>
              </w:rPr>
            </w:pPr>
          </w:p>
          <w:p>
            <w:pPr>
              <w:pStyle w:val="45"/>
              <w:spacing w:before="1"/>
              <w:rPr>
                <w:rFonts w:ascii="黑体"/>
                <w:color w:val="auto"/>
                <w:sz w:val="21"/>
              </w:rPr>
            </w:pPr>
          </w:p>
          <w:p>
            <w:pPr>
              <w:pStyle w:val="45"/>
              <w:ind w:left="197" w:right="188"/>
              <w:jc w:val="center"/>
              <w:rPr>
                <w:rFonts w:ascii="Times New Roman"/>
                <w:color w:val="auto"/>
                <w:sz w:val="21"/>
              </w:rPr>
            </w:pPr>
            <w:r>
              <w:rPr>
                <w:rFonts w:ascii="Times New Roman"/>
                <w:color w:val="auto"/>
                <w:sz w:val="21"/>
              </w:rPr>
              <w:t>1.1.3</w:t>
            </w:r>
          </w:p>
        </w:tc>
        <w:tc>
          <w:tcPr>
            <w:tcW w:w="1770" w:type="dxa"/>
          </w:tcPr>
          <w:p>
            <w:pPr>
              <w:pStyle w:val="45"/>
              <w:rPr>
                <w:rFonts w:ascii="黑体"/>
                <w:color w:val="auto"/>
                <w:sz w:val="20"/>
              </w:rPr>
            </w:pPr>
          </w:p>
          <w:p>
            <w:pPr>
              <w:pStyle w:val="45"/>
              <w:spacing w:before="7"/>
              <w:rPr>
                <w:rFonts w:ascii="黑体"/>
                <w:color w:val="auto"/>
              </w:rPr>
            </w:pPr>
          </w:p>
          <w:p>
            <w:pPr>
              <w:pStyle w:val="45"/>
              <w:ind w:left="9"/>
              <w:jc w:val="center"/>
              <w:rPr>
                <w:color w:val="auto"/>
                <w:sz w:val="21"/>
              </w:rPr>
            </w:pPr>
            <w:r>
              <w:rPr>
                <w:color w:val="auto"/>
                <w:sz w:val="21"/>
              </w:rPr>
              <w:t>招标代理机构</w:t>
            </w:r>
          </w:p>
        </w:tc>
        <w:tc>
          <w:tcPr>
            <w:tcW w:w="6098" w:type="dxa"/>
          </w:tcPr>
          <w:p>
            <w:pPr>
              <w:pStyle w:val="45"/>
              <w:tabs>
                <w:tab w:val="left" w:pos="737"/>
              </w:tabs>
              <w:spacing w:before="1"/>
              <w:ind w:left="106"/>
              <w:rPr>
                <w:color w:val="auto"/>
                <w:sz w:val="21"/>
              </w:rPr>
            </w:pPr>
            <w:r>
              <w:rPr>
                <w:color w:val="auto"/>
                <w:sz w:val="21"/>
              </w:rPr>
              <w:t>招标代理：</w:t>
            </w:r>
            <w:r>
              <w:rPr>
                <w:rFonts w:hint="eastAsia"/>
                <w:color w:val="auto"/>
                <w:sz w:val="21"/>
              </w:rPr>
              <w:t>智埔国际工程咨询有限公司</w:t>
            </w:r>
          </w:p>
          <w:p>
            <w:pPr>
              <w:pStyle w:val="45"/>
              <w:tabs>
                <w:tab w:val="left" w:pos="737"/>
              </w:tabs>
              <w:spacing w:before="1"/>
              <w:ind w:left="106"/>
              <w:rPr>
                <w:color w:val="auto"/>
                <w:sz w:val="21"/>
              </w:rPr>
            </w:pPr>
            <w:r>
              <w:rPr>
                <w:color w:val="auto"/>
                <w:sz w:val="21"/>
              </w:rPr>
              <w:t xml:space="preserve">地 </w:t>
            </w:r>
            <w:r>
              <w:rPr>
                <w:rFonts w:hint="eastAsia"/>
                <w:color w:val="auto"/>
                <w:sz w:val="21"/>
              </w:rPr>
              <w:t xml:space="preserve">  </w:t>
            </w:r>
            <w:r>
              <w:rPr>
                <w:color w:val="auto"/>
                <w:sz w:val="21"/>
              </w:rPr>
              <w:t>址：</w:t>
            </w:r>
            <w:r>
              <w:rPr>
                <w:rFonts w:hint="eastAsia"/>
                <w:color w:val="auto"/>
                <w:sz w:val="21"/>
                <w:lang w:val="en-US"/>
              </w:rPr>
              <w:t>岳阳市岳阳楼区经济技术开发区白石岭北路253号三楼</w:t>
            </w:r>
          </w:p>
          <w:p>
            <w:pPr>
              <w:pStyle w:val="45"/>
              <w:tabs>
                <w:tab w:val="left" w:pos="737"/>
              </w:tabs>
              <w:spacing w:before="1"/>
              <w:ind w:left="106"/>
              <w:rPr>
                <w:color w:val="auto"/>
                <w:sz w:val="21"/>
              </w:rPr>
            </w:pPr>
            <w:r>
              <w:rPr>
                <w:color w:val="auto"/>
                <w:sz w:val="21"/>
              </w:rPr>
              <w:t>联 系 人：</w:t>
            </w:r>
            <w:r>
              <w:rPr>
                <w:rFonts w:hint="eastAsia"/>
                <w:color w:val="auto"/>
                <w:sz w:val="21"/>
              </w:rPr>
              <w:t>周女士</w:t>
            </w:r>
          </w:p>
          <w:p>
            <w:pPr>
              <w:pStyle w:val="45"/>
              <w:tabs>
                <w:tab w:val="left" w:pos="737"/>
              </w:tabs>
              <w:spacing w:before="1"/>
              <w:ind w:left="106"/>
              <w:rPr>
                <w:rFonts w:ascii="Times New Roman" w:eastAsia="Times New Roman"/>
                <w:color w:val="auto"/>
                <w:sz w:val="21"/>
              </w:rPr>
            </w:pPr>
            <w:r>
              <w:rPr>
                <w:rFonts w:hint="eastAsia"/>
                <w:color w:val="auto"/>
                <w:sz w:val="21"/>
              </w:rPr>
              <w:t>电话：0730-828865</w:t>
            </w:r>
            <w:r>
              <w:rPr>
                <w:rFonts w:hint="eastAsia"/>
                <w:color w:val="auto"/>
                <w:sz w:val="21"/>
                <w:lang w:val="en-U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66" w:type="dxa"/>
          </w:tcPr>
          <w:p>
            <w:pPr>
              <w:pStyle w:val="45"/>
              <w:spacing w:before="120"/>
              <w:ind w:left="197" w:right="188"/>
              <w:jc w:val="center"/>
              <w:rPr>
                <w:rFonts w:ascii="Times New Roman"/>
                <w:color w:val="auto"/>
                <w:sz w:val="21"/>
              </w:rPr>
            </w:pPr>
            <w:r>
              <w:rPr>
                <w:rFonts w:ascii="Times New Roman"/>
                <w:color w:val="auto"/>
                <w:sz w:val="21"/>
              </w:rPr>
              <w:t>1.1.4</w:t>
            </w:r>
          </w:p>
        </w:tc>
        <w:tc>
          <w:tcPr>
            <w:tcW w:w="1770" w:type="dxa"/>
          </w:tcPr>
          <w:p>
            <w:pPr>
              <w:pStyle w:val="45"/>
              <w:spacing w:before="111"/>
              <w:ind w:left="9"/>
              <w:jc w:val="center"/>
              <w:rPr>
                <w:color w:val="auto"/>
                <w:sz w:val="21"/>
              </w:rPr>
            </w:pPr>
            <w:r>
              <w:rPr>
                <w:color w:val="auto"/>
                <w:sz w:val="21"/>
              </w:rPr>
              <w:t>招标项目名称</w:t>
            </w:r>
          </w:p>
        </w:tc>
        <w:tc>
          <w:tcPr>
            <w:tcW w:w="6098" w:type="dxa"/>
          </w:tcPr>
          <w:p>
            <w:pPr>
              <w:pStyle w:val="45"/>
              <w:spacing w:before="111"/>
              <w:ind w:left="106"/>
              <w:rPr>
                <w:color w:val="auto"/>
                <w:sz w:val="21"/>
              </w:rPr>
            </w:pPr>
            <w:r>
              <w:rPr>
                <w:rFonts w:hint="eastAsia"/>
                <w:color w:val="auto"/>
                <w:sz w:val="21"/>
                <w:lang w:val="en-US" w:eastAsia="zh-CN"/>
              </w:rPr>
              <w:t>岳阳市南湖新区渔场道路工程</w:t>
            </w:r>
            <w:r>
              <w:rPr>
                <w:color w:val="auto"/>
                <w:sz w:val="21"/>
                <w:lang w:val="en-US"/>
              </w:rPr>
              <w:t>设计施工总承包（EPC）项目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66" w:type="dxa"/>
          </w:tcPr>
          <w:p>
            <w:pPr>
              <w:pStyle w:val="45"/>
              <w:spacing w:before="96"/>
              <w:ind w:left="197" w:right="188"/>
              <w:jc w:val="center"/>
              <w:rPr>
                <w:rFonts w:ascii="Times New Roman"/>
                <w:color w:val="auto"/>
                <w:sz w:val="21"/>
              </w:rPr>
            </w:pPr>
            <w:r>
              <w:rPr>
                <w:rFonts w:ascii="Times New Roman"/>
                <w:color w:val="auto"/>
                <w:sz w:val="21"/>
              </w:rPr>
              <w:t>1.1.5</w:t>
            </w:r>
          </w:p>
        </w:tc>
        <w:tc>
          <w:tcPr>
            <w:tcW w:w="1770" w:type="dxa"/>
          </w:tcPr>
          <w:p>
            <w:pPr>
              <w:pStyle w:val="45"/>
              <w:spacing w:before="87"/>
              <w:ind w:left="7"/>
              <w:jc w:val="center"/>
              <w:rPr>
                <w:color w:val="auto"/>
                <w:sz w:val="21"/>
              </w:rPr>
            </w:pPr>
            <w:r>
              <w:rPr>
                <w:color w:val="auto"/>
                <w:sz w:val="21"/>
              </w:rPr>
              <w:t>建设地点</w:t>
            </w:r>
          </w:p>
        </w:tc>
        <w:tc>
          <w:tcPr>
            <w:tcW w:w="6098" w:type="dxa"/>
            <w:vAlign w:val="center"/>
          </w:tcPr>
          <w:p>
            <w:pPr>
              <w:pStyle w:val="45"/>
              <w:tabs>
                <w:tab w:val="left" w:pos="737"/>
              </w:tabs>
              <w:spacing w:before="1"/>
              <w:ind w:left="106"/>
              <w:rPr>
                <w:rFonts w:hint="eastAsia" w:eastAsia="宋体" w:cs="仿宋_GB2312"/>
                <w:color w:val="auto"/>
                <w:sz w:val="28"/>
                <w:szCs w:val="28"/>
                <w:lang w:eastAsia="zh-CN"/>
              </w:rPr>
            </w:pPr>
            <w:r>
              <w:rPr>
                <w:rFonts w:hint="eastAsia"/>
                <w:color w:val="auto"/>
                <w:sz w:val="21"/>
                <w:szCs w:val="21"/>
                <w:lang w:val="en-US" w:eastAsia="zh-CN"/>
              </w:rPr>
              <w:t xml:space="preserve"> </w:t>
            </w:r>
            <w:r>
              <w:rPr>
                <w:rFonts w:hint="eastAsia"/>
                <w:color w:val="auto"/>
                <w:sz w:val="21"/>
                <w:szCs w:val="21"/>
                <w:lang w:eastAsia="zh-CN"/>
              </w:rPr>
              <w:t>岳阳市南湖新区天灯咀片区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66" w:type="dxa"/>
          </w:tcPr>
          <w:p>
            <w:pPr>
              <w:pStyle w:val="45"/>
              <w:spacing w:before="142"/>
              <w:ind w:right="122"/>
              <w:jc w:val="right"/>
              <w:rPr>
                <w:color w:val="auto"/>
                <w:sz w:val="21"/>
              </w:rPr>
            </w:pPr>
            <w:r>
              <w:rPr>
                <w:color w:val="auto"/>
                <w:sz w:val="21"/>
              </w:rPr>
              <w:t xml:space="preserve">1.2.1 </w:t>
            </w:r>
          </w:p>
        </w:tc>
        <w:tc>
          <w:tcPr>
            <w:tcW w:w="1770" w:type="dxa"/>
          </w:tcPr>
          <w:p>
            <w:pPr>
              <w:pStyle w:val="45"/>
              <w:spacing w:line="440" w:lineRule="exact"/>
              <w:ind w:right="174"/>
              <w:rPr>
                <w:color w:val="auto"/>
                <w:sz w:val="21"/>
              </w:rPr>
            </w:pPr>
            <w:r>
              <w:rPr>
                <w:color w:val="auto"/>
                <w:sz w:val="21"/>
              </w:rPr>
              <w:t xml:space="preserve">资金来源及比例 </w:t>
            </w:r>
          </w:p>
        </w:tc>
        <w:tc>
          <w:tcPr>
            <w:tcW w:w="6098" w:type="dxa"/>
          </w:tcPr>
          <w:p>
            <w:pPr>
              <w:pStyle w:val="45"/>
              <w:spacing w:before="142"/>
              <w:ind w:left="116"/>
              <w:rPr>
                <w:color w:val="auto"/>
                <w:sz w:val="21"/>
              </w:rPr>
            </w:pPr>
            <w:r>
              <w:rPr>
                <w:color w:val="auto"/>
                <w:sz w:val="21"/>
                <w:lang w:val="en-US"/>
              </w:rPr>
              <w:t xml:space="preserve"> </w:t>
            </w:r>
            <w:r>
              <w:rPr>
                <w:rFonts w:hint="eastAsia"/>
                <w:color w:val="auto"/>
                <w:sz w:val="21"/>
                <w:lang w:val="en-US" w:eastAsia="zh-CN"/>
              </w:rPr>
              <w:t>区财政配套资金及岳阳南湖天著置业有限公司出资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66" w:type="dxa"/>
          </w:tcPr>
          <w:p>
            <w:pPr>
              <w:pStyle w:val="45"/>
              <w:spacing w:before="143"/>
              <w:ind w:right="122"/>
              <w:jc w:val="right"/>
              <w:rPr>
                <w:color w:val="auto"/>
                <w:sz w:val="21"/>
              </w:rPr>
            </w:pPr>
            <w:r>
              <w:rPr>
                <w:color w:val="auto"/>
                <w:sz w:val="21"/>
              </w:rPr>
              <w:t xml:space="preserve">1.2.2 </w:t>
            </w:r>
          </w:p>
        </w:tc>
        <w:tc>
          <w:tcPr>
            <w:tcW w:w="1770" w:type="dxa"/>
          </w:tcPr>
          <w:p>
            <w:pPr>
              <w:pStyle w:val="45"/>
              <w:spacing w:before="1" w:line="440" w:lineRule="exact"/>
              <w:ind w:left="518" w:right="174" w:hanging="209"/>
              <w:rPr>
                <w:color w:val="auto"/>
                <w:sz w:val="21"/>
              </w:rPr>
            </w:pPr>
            <w:r>
              <w:rPr>
                <w:color w:val="auto"/>
                <w:sz w:val="21"/>
              </w:rPr>
              <w:t xml:space="preserve">资金落实情况 </w:t>
            </w:r>
          </w:p>
        </w:tc>
        <w:tc>
          <w:tcPr>
            <w:tcW w:w="6098" w:type="dxa"/>
          </w:tcPr>
          <w:p>
            <w:pPr>
              <w:pStyle w:val="45"/>
              <w:spacing w:before="143"/>
              <w:ind w:left="116"/>
              <w:rPr>
                <w:color w:val="auto"/>
                <w:sz w:val="21"/>
              </w:rPr>
            </w:pPr>
            <w:r>
              <w:rPr>
                <w:color w:val="auto"/>
                <w:sz w:val="21"/>
              </w:rPr>
              <w:t xml:space="preserve">已落实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5" w:hRule="atLeast"/>
        </w:trPr>
        <w:tc>
          <w:tcPr>
            <w:tcW w:w="1066" w:type="dxa"/>
          </w:tcPr>
          <w:p>
            <w:pPr>
              <w:pStyle w:val="45"/>
              <w:rPr>
                <w:rFonts w:ascii="黑体"/>
                <w:color w:val="auto"/>
              </w:rPr>
            </w:pPr>
          </w:p>
          <w:p>
            <w:pPr>
              <w:pStyle w:val="45"/>
              <w:rPr>
                <w:rFonts w:ascii="黑体"/>
                <w:color w:val="auto"/>
              </w:rPr>
            </w:pPr>
          </w:p>
          <w:p>
            <w:pPr>
              <w:pStyle w:val="45"/>
              <w:spacing w:before="9"/>
              <w:rPr>
                <w:rFonts w:ascii="黑体"/>
                <w:color w:val="auto"/>
              </w:rPr>
            </w:pPr>
          </w:p>
          <w:p>
            <w:pPr>
              <w:pStyle w:val="45"/>
              <w:ind w:left="197" w:right="188"/>
              <w:jc w:val="center"/>
              <w:rPr>
                <w:rFonts w:ascii="Times New Roman"/>
                <w:color w:val="auto"/>
                <w:sz w:val="21"/>
              </w:rPr>
            </w:pPr>
            <w:r>
              <w:rPr>
                <w:rFonts w:ascii="Times New Roman"/>
                <w:color w:val="auto"/>
                <w:sz w:val="21"/>
              </w:rPr>
              <w:t>1.3.1</w:t>
            </w:r>
          </w:p>
        </w:tc>
        <w:tc>
          <w:tcPr>
            <w:tcW w:w="1770" w:type="dxa"/>
          </w:tcPr>
          <w:p>
            <w:pPr>
              <w:pStyle w:val="45"/>
              <w:rPr>
                <w:rFonts w:ascii="黑体"/>
                <w:color w:val="auto"/>
                <w:sz w:val="20"/>
              </w:rPr>
            </w:pPr>
          </w:p>
          <w:p>
            <w:pPr>
              <w:pStyle w:val="45"/>
              <w:rPr>
                <w:rFonts w:ascii="黑体"/>
                <w:color w:val="auto"/>
                <w:sz w:val="20"/>
              </w:rPr>
            </w:pPr>
          </w:p>
          <w:p>
            <w:pPr>
              <w:pStyle w:val="45"/>
              <w:spacing w:before="2"/>
              <w:rPr>
                <w:rFonts w:ascii="黑体"/>
                <w:color w:val="auto"/>
                <w:sz w:val="26"/>
              </w:rPr>
            </w:pPr>
          </w:p>
          <w:p>
            <w:pPr>
              <w:pStyle w:val="45"/>
              <w:ind w:left="7"/>
              <w:jc w:val="center"/>
              <w:rPr>
                <w:color w:val="auto"/>
                <w:sz w:val="21"/>
              </w:rPr>
            </w:pPr>
            <w:r>
              <w:rPr>
                <w:color w:val="auto"/>
                <w:sz w:val="21"/>
              </w:rPr>
              <w:t>招标范围</w:t>
            </w:r>
          </w:p>
        </w:tc>
        <w:tc>
          <w:tcPr>
            <w:tcW w:w="6098" w:type="dxa"/>
          </w:tcPr>
          <w:p>
            <w:pPr>
              <w:pStyle w:val="45"/>
              <w:spacing w:line="409" w:lineRule="exact"/>
              <w:ind w:left="646"/>
              <w:rPr>
                <w:color w:val="auto"/>
                <w:sz w:val="21"/>
              </w:rPr>
            </w:pPr>
            <w:r>
              <w:rPr>
                <w:rFonts w:hint="eastAsia" w:ascii="MS Gothic" w:hAnsi="MS Gothic" w:eastAsia="MS Gothic"/>
                <w:color w:val="auto"/>
                <w:sz w:val="32"/>
              </w:rPr>
              <w:t>☑</w:t>
            </w:r>
            <w:r>
              <w:rPr>
                <w:color w:val="auto"/>
                <w:sz w:val="21"/>
              </w:rPr>
              <w:t>详见招标公告（适用于资格审查采用资格后审方式的招</w:t>
            </w:r>
          </w:p>
          <w:p>
            <w:pPr>
              <w:pStyle w:val="45"/>
              <w:spacing w:before="7" w:line="265" w:lineRule="exact"/>
              <w:ind w:left="3"/>
              <w:rPr>
                <w:color w:val="auto"/>
                <w:sz w:val="21"/>
              </w:rPr>
            </w:pPr>
            <w:r>
              <w:rPr>
                <w:color w:val="auto"/>
                <w:sz w:val="21"/>
              </w:rPr>
              <w:t>标项目）</w:t>
            </w:r>
          </w:p>
          <w:p>
            <w:pPr>
              <w:pStyle w:val="45"/>
              <w:spacing w:line="364" w:lineRule="exact"/>
              <w:ind w:left="646"/>
              <w:rPr>
                <w:color w:val="auto"/>
                <w:sz w:val="21"/>
              </w:rPr>
            </w:pPr>
            <w:r>
              <w:rPr>
                <w:rFonts w:ascii="Times New Roman" w:hAnsi="Times New Roman" w:eastAsia="Times New Roman"/>
                <w:color w:val="auto"/>
                <w:sz w:val="32"/>
              </w:rPr>
              <w:t>□</w:t>
            </w:r>
            <w:r>
              <w:rPr>
                <w:color w:val="auto"/>
                <w:sz w:val="21"/>
              </w:rPr>
              <w:t>投标邀请书（适用于邀请招标项目）</w:t>
            </w:r>
          </w:p>
          <w:p>
            <w:pPr>
              <w:pStyle w:val="45"/>
              <w:tabs>
                <w:tab w:val="left" w:pos="5250"/>
              </w:tabs>
              <w:spacing w:line="368" w:lineRule="exact"/>
              <w:ind w:left="646"/>
              <w:rPr>
                <w:color w:val="auto"/>
                <w:sz w:val="21"/>
              </w:rPr>
            </w:pPr>
            <w:r>
              <w:rPr>
                <w:rFonts w:ascii="Times New Roman" w:hAnsi="Times New Roman" w:eastAsia="Times New Roman"/>
                <w:color w:val="auto"/>
                <w:sz w:val="32"/>
              </w:rPr>
              <w:t>□</w:t>
            </w:r>
            <w:r>
              <w:rPr>
                <w:rFonts w:ascii="Times New Roman" w:hAnsi="Times New Roman" w:eastAsia="Times New Roman"/>
                <w:color w:val="auto"/>
                <w:sz w:val="32"/>
                <w:u w:val="single"/>
              </w:rPr>
              <w:t xml:space="preserve"> </w:t>
            </w:r>
            <w:r>
              <w:rPr>
                <w:rFonts w:ascii="Times New Roman" w:hAnsi="Times New Roman" w:eastAsia="Times New Roman"/>
                <w:color w:val="auto"/>
                <w:sz w:val="32"/>
                <w:u w:val="single"/>
              </w:rPr>
              <w:tab/>
            </w:r>
            <w:r>
              <w:rPr>
                <w:color w:val="auto"/>
                <w:sz w:val="21"/>
              </w:rPr>
              <w:t>，</w:t>
            </w:r>
          </w:p>
          <w:p>
            <w:pPr>
              <w:pStyle w:val="45"/>
              <w:spacing w:before="10" w:line="270" w:lineRule="atLeast"/>
              <w:ind w:left="3" w:right="95" w:firstLine="422"/>
              <w:rPr>
                <w:color w:val="auto"/>
                <w:sz w:val="21"/>
              </w:rPr>
            </w:pPr>
            <w:r>
              <w:rPr>
                <w:color w:val="auto"/>
                <w:sz w:val="21"/>
              </w:rPr>
              <w:t>关于招标范围的详细说明见</w:t>
            </w:r>
            <w:r>
              <w:rPr>
                <w:rFonts w:ascii="Times New Roman" w:hAnsi="Times New Roman" w:eastAsia="Times New Roman"/>
                <w:color w:val="auto"/>
                <w:sz w:val="21"/>
              </w:rPr>
              <w:t>“</w:t>
            </w:r>
            <w:r>
              <w:rPr>
                <w:color w:val="auto"/>
                <w:sz w:val="21"/>
              </w:rPr>
              <w:t>发包人要求</w:t>
            </w:r>
            <w:r>
              <w:rPr>
                <w:rFonts w:ascii="Times New Roman" w:hAnsi="Times New Roman" w:eastAsia="Times New Roman"/>
                <w:color w:val="auto"/>
                <w:sz w:val="21"/>
              </w:rPr>
              <w:t>”</w:t>
            </w:r>
            <w:r>
              <w:rPr>
                <w:color w:val="auto"/>
                <w:sz w:val="21"/>
              </w:rPr>
              <w:t>及初步设计和概算清单。（适用于资格审查采用资格预审方式的招标项目）</w:t>
            </w:r>
          </w:p>
          <w:p>
            <w:pPr>
              <w:pStyle w:val="45"/>
              <w:spacing w:before="10" w:line="270" w:lineRule="atLeast"/>
              <w:ind w:left="3" w:right="95" w:firstLine="422"/>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066" w:type="dxa"/>
          </w:tcPr>
          <w:p>
            <w:pPr>
              <w:pStyle w:val="45"/>
              <w:spacing w:before="12"/>
              <w:rPr>
                <w:rFonts w:ascii="黑体"/>
                <w:color w:val="auto"/>
                <w:sz w:val="21"/>
              </w:rPr>
            </w:pPr>
          </w:p>
          <w:p>
            <w:pPr>
              <w:pStyle w:val="45"/>
              <w:ind w:left="321"/>
              <w:rPr>
                <w:rFonts w:ascii="Times New Roman"/>
                <w:color w:val="auto"/>
                <w:sz w:val="21"/>
              </w:rPr>
            </w:pPr>
            <w:r>
              <w:rPr>
                <w:rFonts w:ascii="Times New Roman"/>
                <w:color w:val="auto"/>
                <w:sz w:val="21"/>
              </w:rPr>
              <w:t>1.3.2</w:t>
            </w:r>
          </w:p>
        </w:tc>
        <w:tc>
          <w:tcPr>
            <w:tcW w:w="1770" w:type="dxa"/>
          </w:tcPr>
          <w:p>
            <w:pPr>
              <w:pStyle w:val="45"/>
              <w:spacing w:before="3"/>
              <w:rPr>
                <w:rFonts w:ascii="黑体"/>
                <w:color w:val="auto"/>
                <w:sz w:val="21"/>
              </w:rPr>
            </w:pPr>
          </w:p>
          <w:p>
            <w:pPr>
              <w:pStyle w:val="45"/>
              <w:ind w:left="462"/>
              <w:rPr>
                <w:color w:val="auto"/>
                <w:sz w:val="21"/>
              </w:rPr>
            </w:pPr>
            <w:r>
              <w:rPr>
                <w:color w:val="auto"/>
                <w:sz w:val="21"/>
              </w:rPr>
              <w:t>计划工期</w:t>
            </w:r>
          </w:p>
        </w:tc>
        <w:tc>
          <w:tcPr>
            <w:tcW w:w="6098" w:type="dxa"/>
          </w:tcPr>
          <w:p>
            <w:pPr>
              <w:pStyle w:val="45"/>
              <w:spacing w:before="1" w:line="244" w:lineRule="auto"/>
              <w:ind w:left="3" w:right="101" w:firstLine="422"/>
              <w:rPr>
                <w:color w:val="auto"/>
                <w:sz w:val="21"/>
              </w:rPr>
            </w:pPr>
          </w:p>
          <w:p>
            <w:pPr>
              <w:pStyle w:val="45"/>
              <w:spacing w:before="1" w:line="244" w:lineRule="auto"/>
              <w:ind w:right="101"/>
              <w:rPr>
                <w:color w:val="auto"/>
                <w:sz w:val="21"/>
              </w:rPr>
            </w:pPr>
            <w:r>
              <w:rPr>
                <w:color w:val="auto"/>
                <w:sz w:val="21"/>
              </w:rPr>
              <w:t>计划工期：</w:t>
            </w:r>
            <w:r>
              <w:rPr>
                <w:rFonts w:hint="eastAsia"/>
                <w:color w:val="auto"/>
                <w:sz w:val="21"/>
                <w:szCs w:val="21"/>
                <w:lang w:val="en-US" w:eastAsia="zh-CN"/>
              </w:rPr>
              <w:t>230</w:t>
            </w:r>
            <w:r>
              <w:rPr>
                <w:rFonts w:hint="eastAsia"/>
                <w:color w:val="auto"/>
                <w:sz w:val="21"/>
                <w:szCs w:val="21"/>
                <w:lang w:val="en-US"/>
              </w:rPr>
              <w:t>日历天（其中设计工期为：</w:t>
            </w:r>
            <w:r>
              <w:rPr>
                <w:rFonts w:hint="eastAsia"/>
                <w:color w:val="auto"/>
                <w:sz w:val="21"/>
                <w:szCs w:val="21"/>
                <w:lang w:val="en-US" w:eastAsia="zh-CN"/>
              </w:rPr>
              <w:t>30</w:t>
            </w:r>
            <w:r>
              <w:rPr>
                <w:rFonts w:hint="eastAsia"/>
                <w:color w:val="auto"/>
                <w:sz w:val="21"/>
                <w:szCs w:val="21"/>
                <w:lang w:val="en-US"/>
              </w:rPr>
              <w:t>日历天；施工工期为：</w:t>
            </w:r>
            <w:r>
              <w:rPr>
                <w:rFonts w:hint="eastAsia"/>
                <w:color w:val="auto"/>
                <w:sz w:val="21"/>
                <w:szCs w:val="21"/>
                <w:lang w:val="en-US" w:eastAsia="zh-CN"/>
              </w:rPr>
              <w:t>200</w:t>
            </w:r>
            <w:r>
              <w:rPr>
                <w:rFonts w:hint="eastAsia"/>
                <w:color w:val="auto"/>
                <w:sz w:val="21"/>
                <w:szCs w:val="21"/>
                <w:lang w:val="en-US"/>
              </w:rPr>
              <w:t>日历天）</w:t>
            </w:r>
            <w:r>
              <w:rPr>
                <w:rFonts w:hint="eastAsia"/>
                <w:color w:val="auto"/>
                <w:sz w:val="21"/>
                <w:szCs w:val="21"/>
                <w:lang w:val="en-US" w:eastAsia="zh-CN"/>
              </w:rPr>
              <w:t>；</w:t>
            </w:r>
            <w:r>
              <w:rPr>
                <w:rFonts w:hint="eastAsia"/>
                <w:color w:val="auto"/>
                <w:sz w:val="21"/>
                <w:szCs w:val="21"/>
                <w:lang w:val="en-US"/>
              </w:rPr>
              <w:t>计划开工日期：从签订合同之日开始计算的第 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066" w:type="dxa"/>
          </w:tcPr>
          <w:p>
            <w:pPr>
              <w:pStyle w:val="45"/>
              <w:rPr>
                <w:rFonts w:ascii="黑体"/>
                <w:color w:val="auto"/>
              </w:rPr>
            </w:pPr>
          </w:p>
          <w:p>
            <w:pPr>
              <w:pStyle w:val="45"/>
              <w:spacing w:before="12"/>
              <w:rPr>
                <w:rFonts w:ascii="黑体"/>
                <w:color w:val="auto"/>
                <w:sz w:val="31"/>
              </w:rPr>
            </w:pPr>
          </w:p>
          <w:p>
            <w:pPr>
              <w:pStyle w:val="45"/>
              <w:ind w:left="197" w:right="188"/>
              <w:jc w:val="center"/>
              <w:rPr>
                <w:rFonts w:ascii="Times New Roman"/>
                <w:color w:val="auto"/>
                <w:sz w:val="21"/>
              </w:rPr>
            </w:pPr>
            <w:r>
              <w:rPr>
                <w:rFonts w:ascii="Times New Roman"/>
                <w:color w:val="auto"/>
                <w:sz w:val="21"/>
              </w:rPr>
              <w:t>1.3.3</w:t>
            </w:r>
          </w:p>
        </w:tc>
        <w:tc>
          <w:tcPr>
            <w:tcW w:w="1770" w:type="dxa"/>
          </w:tcPr>
          <w:p>
            <w:pPr>
              <w:pStyle w:val="45"/>
              <w:rPr>
                <w:rFonts w:ascii="黑体"/>
                <w:color w:val="auto"/>
                <w:sz w:val="20"/>
              </w:rPr>
            </w:pPr>
          </w:p>
          <w:p>
            <w:pPr>
              <w:pStyle w:val="45"/>
              <w:spacing w:before="7"/>
              <w:rPr>
                <w:rFonts w:ascii="黑体"/>
                <w:color w:val="auto"/>
              </w:rPr>
            </w:pPr>
          </w:p>
          <w:p>
            <w:pPr>
              <w:pStyle w:val="45"/>
              <w:spacing w:line="244" w:lineRule="auto"/>
              <w:ind w:left="462" w:right="347" w:hanging="106"/>
              <w:rPr>
                <w:color w:val="auto"/>
                <w:sz w:val="21"/>
              </w:rPr>
            </w:pPr>
            <w:r>
              <w:rPr>
                <w:color w:val="auto"/>
                <w:sz w:val="21"/>
              </w:rPr>
              <w:t>质量标准和保修要求</w:t>
            </w:r>
          </w:p>
        </w:tc>
        <w:tc>
          <w:tcPr>
            <w:tcW w:w="6098" w:type="dxa"/>
          </w:tcPr>
          <w:p>
            <w:pPr>
              <w:pStyle w:val="45"/>
              <w:spacing w:before="1" w:line="244" w:lineRule="auto"/>
              <w:ind w:left="3" w:right="101" w:firstLine="422"/>
              <w:rPr>
                <w:color w:val="auto"/>
                <w:sz w:val="20"/>
                <w:szCs w:val="21"/>
              </w:rPr>
            </w:pPr>
          </w:p>
          <w:p>
            <w:pPr>
              <w:pStyle w:val="45"/>
              <w:spacing w:before="1" w:line="244" w:lineRule="auto"/>
              <w:ind w:left="3" w:right="101" w:firstLine="422"/>
              <w:rPr>
                <w:color w:val="auto"/>
                <w:sz w:val="21"/>
              </w:rPr>
            </w:pPr>
            <w:r>
              <w:rPr>
                <w:color w:val="auto"/>
                <w:sz w:val="21"/>
              </w:rPr>
              <w:t>设计质量标准：</w:t>
            </w:r>
            <w:r>
              <w:rPr>
                <w:rFonts w:hint="eastAsia"/>
                <w:color w:val="auto"/>
                <w:sz w:val="21"/>
                <w:szCs w:val="21"/>
                <w:lang w:val="en-US"/>
              </w:rPr>
              <w:t>质量满足国家、省、市、行业规范及施工需求，并通过相关行业主管部门审查</w:t>
            </w:r>
            <w:r>
              <w:rPr>
                <w:color w:val="auto"/>
                <w:sz w:val="21"/>
              </w:rPr>
              <w:t>；</w:t>
            </w:r>
          </w:p>
          <w:p>
            <w:pPr>
              <w:pStyle w:val="7"/>
              <w:ind w:firstLine="420"/>
              <w:rPr>
                <w:color w:val="auto"/>
                <w:sz w:val="21"/>
                <w:szCs w:val="21"/>
                <w:lang w:val="en-US" w:bidi="ar-SA"/>
              </w:rPr>
            </w:pPr>
            <w:r>
              <w:rPr>
                <w:color w:val="auto"/>
                <w:sz w:val="21"/>
              </w:rPr>
              <w:t>施工质量标准：</w:t>
            </w:r>
            <w:r>
              <w:rPr>
                <w:rFonts w:hint="eastAsia"/>
                <w:color w:val="auto"/>
                <w:sz w:val="21"/>
                <w:szCs w:val="21"/>
                <w:lang w:val="en-US"/>
              </w:rPr>
              <w:t>质量达到《</w:t>
            </w:r>
            <w:r>
              <w:rPr>
                <w:rFonts w:hint="eastAsia"/>
                <w:color w:val="auto"/>
                <w:sz w:val="21"/>
                <w:szCs w:val="21"/>
                <w:lang w:val="en-US" w:eastAsia="zh-CN"/>
              </w:rPr>
              <w:t>工程施工及验收规范</w:t>
            </w:r>
            <w:r>
              <w:rPr>
                <w:rFonts w:hint="eastAsia"/>
                <w:color w:val="auto"/>
                <w:sz w:val="21"/>
                <w:szCs w:val="21"/>
                <w:lang w:val="en-US"/>
              </w:rPr>
              <w:t>》及国家颁布的施工验收规范和质量检验标准，全部工程达到合格标准</w:t>
            </w:r>
            <w:r>
              <w:rPr>
                <w:color w:val="auto"/>
                <w:sz w:val="21"/>
              </w:rPr>
              <w:t>。</w:t>
            </w:r>
          </w:p>
          <w:p>
            <w:pPr>
              <w:pStyle w:val="45"/>
              <w:spacing w:line="250" w:lineRule="exact"/>
              <w:ind w:left="425"/>
              <w:jc w:val="both"/>
              <w:rPr>
                <w:color w:val="auto"/>
                <w:sz w:val="21"/>
              </w:rPr>
            </w:pPr>
            <w:r>
              <w:rPr>
                <w:color w:val="auto"/>
                <w:sz w:val="21"/>
              </w:rPr>
              <w:t>保修要求：按原建设部【2000】</w:t>
            </w:r>
            <w:r>
              <w:rPr>
                <w:rFonts w:hint="eastAsia"/>
                <w:color w:val="auto"/>
                <w:sz w:val="21"/>
                <w:lang w:val="en-US"/>
              </w:rPr>
              <w:t>279</w:t>
            </w:r>
            <w:r>
              <w:rPr>
                <w:color w:val="auto"/>
                <w:sz w:val="21"/>
              </w:rPr>
              <w:t>号令规定。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066" w:type="dxa"/>
          </w:tcPr>
          <w:p>
            <w:pPr>
              <w:pStyle w:val="45"/>
              <w:spacing w:before="101"/>
              <w:ind w:left="197" w:right="188"/>
              <w:jc w:val="center"/>
              <w:rPr>
                <w:rFonts w:ascii="Times New Roman"/>
                <w:color w:val="auto"/>
                <w:sz w:val="21"/>
              </w:rPr>
            </w:pPr>
            <w:r>
              <w:rPr>
                <w:rFonts w:ascii="Times New Roman"/>
                <w:color w:val="auto"/>
                <w:sz w:val="21"/>
              </w:rPr>
              <w:t>1.4.1</w:t>
            </w:r>
          </w:p>
        </w:tc>
        <w:tc>
          <w:tcPr>
            <w:tcW w:w="1770" w:type="dxa"/>
          </w:tcPr>
          <w:p>
            <w:pPr>
              <w:pStyle w:val="45"/>
              <w:spacing w:before="94"/>
              <w:ind w:left="7"/>
              <w:jc w:val="center"/>
              <w:rPr>
                <w:color w:val="auto"/>
                <w:sz w:val="21"/>
              </w:rPr>
            </w:pPr>
          </w:p>
          <w:p>
            <w:pPr>
              <w:pStyle w:val="45"/>
              <w:spacing w:before="94"/>
              <w:ind w:left="7"/>
              <w:jc w:val="center"/>
              <w:rPr>
                <w:color w:val="auto"/>
                <w:sz w:val="21"/>
              </w:rPr>
            </w:pPr>
            <w:r>
              <w:rPr>
                <w:color w:val="auto"/>
                <w:sz w:val="21"/>
              </w:rPr>
              <w:t>资质条件</w:t>
            </w:r>
          </w:p>
        </w:tc>
        <w:tc>
          <w:tcPr>
            <w:tcW w:w="6098" w:type="dxa"/>
          </w:tcPr>
          <w:p>
            <w:pPr>
              <w:pStyle w:val="45"/>
              <w:spacing w:before="94"/>
              <w:ind w:left="425"/>
              <w:rPr>
                <w:color w:val="auto"/>
                <w:sz w:val="21"/>
              </w:rPr>
            </w:pPr>
          </w:p>
          <w:p>
            <w:pPr>
              <w:pStyle w:val="45"/>
              <w:spacing w:before="94"/>
              <w:ind w:left="425"/>
              <w:rPr>
                <w:color w:val="auto"/>
                <w:sz w:val="21"/>
              </w:rPr>
            </w:pPr>
            <w:r>
              <w:rPr>
                <w:color w:val="auto"/>
                <w:sz w:val="21"/>
              </w:rPr>
              <w:t>详见招标公告</w:t>
            </w:r>
          </w:p>
          <w:p>
            <w:pPr>
              <w:pStyle w:val="45"/>
              <w:spacing w:before="94"/>
              <w:ind w:left="425"/>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1066" w:type="dxa"/>
          </w:tcPr>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spacing w:before="7"/>
              <w:rPr>
                <w:rFonts w:ascii="黑体"/>
                <w:color w:val="auto"/>
                <w:sz w:val="17"/>
              </w:rPr>
            </w:pPr>
          </w:p>
          <w:p>
            <w:pPr>
              <w:pStyle w:val="45"/>
              <w:ind w:left="197" w:right="188"/>
              <w:jc w:val="center"/>
              <w:rPr>
                <w:rFonts w:ascii="Times New Roman"/>
                <w:color w:val="auto"/>
                <w:sz w:val="21"/>
              </w:rPr>
            </w:pPr>
            <w:r>
              <w:rPr>
                <w:rFonts w:ascii="Times New Roman"/>
                <w:color w:val="auto"/>
                <w:sz w:val="21"/>
              </w:rPr>
              <w:t>1.4.2</w:t>
            </w:r>
          </w:p>
        </w:tc>
        <w:tc>
          <w:tcPr>
            <w:tcW w:w="1770" w:type="dxa"/>
          </w:tcPr>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spacing w:before="4"/>
              <w:rPr>
                <w:rFonts w:ascii="黑体"/>
                <w:color w:val="auto"/>
                <w:sz w:val="18"/>
              </w:rPr>
            </w:pPr>
          </w:p>
          <w:p>
            <w:pPr>
              <w:pStyle w:val="45"/>
              <w:spacing w:line="242" w:lineRule="auto"/>
              <w:ind w:left="212" w:right="491" w:firstLine="105"/>
              <w:rPr>
                <w:color w:val="auto"/>
                <w:sz w:val="21"/>
              </w:rPr>
            </w:pPr>
            <w:r>
              <w:rPr>
                <w:color w:val="auto"/>
                <w:sz w:val="21"/>
              </w:rPr>
              <w:t>是否接受联合体投标</w:t>
            </w:r>
          </w:p>
        </w:tc>
        <w:tc>
          <w:tcPr>
            <w:tcW w:w="6098" w:type="dxa"/>
          </w:tcPr>
          <w:p>
            <w:pPr>
              <w:pStyle w:val="45"/>
              <w:spacing w:before="1"/>
              <w:ind w:left="425"/>
              <w:rPr>
                <w:color w:val="auto"/>
                <w:sz w:val="21"/>
              </w:rPr>
            </w:pPr>
            <w:r>
              <w:rPr>
                <w:rFonts w:ascii="Times New Roman" w:hAnsi="Times New Roman" w:eastAsia="Times New Roman"/>
                <w:color w:val="auto"/>
                <w:sz w:val="21"/>
              </w:rPr>
              <w:t>□</w:t>
            </w:r>
            <w:r>
              <w:rPr>
                <w:color w:val="auto"/>
                <w:sz w:val="21"/>
              </w:rPr>
              <w:t>不接受</w:t>
            </w:r>
          </w:p>
          <w:p>
            <w:pPr>
              <w:pStyle w:val="45"/>
              <w:spacing w:before="4"/>
              <w:ind w:left="425"/>
              <w:rPr>
                <w:color w:val="auto"/>
                <w:sz w:val="21"/>
              </w:rPr>
            </w:pPr>
            <w:r>
              <w:rPr>
                <w:rFonts w:hint="eastAsia" w:ascii="MS Gothic" w:hAnsi="MS Gothic" w:eastAsia="MS Gothic"/>
                <w:color w:val="auto"/>
                <w:sz w:val="21"/>
              </w:rPr>
              <w:t>☑</w:t>
            </w:r>
            <w:r>
              <w:rPr>
                <w:color w:val="auto"/>
                <w:sz w:val="21"/>
              </w:rPr>
              <w:t>接受，应满足下列要求：</w:t>
            </w:r>
          </w:p>
          <w:p>
            <w:pPr>
              <w:pStyle w:val="45"/>
              <w:spacing w:before="3" w:line="242" w:lineRule="auto"/>
              <w:ind w:left="3" w:right="93" w:firstLine="420" w:firstLineChars="200"/>
              <w:jc w:val="both"/>
              <w:rPr>
                <w:color w:val="auto"/>
                <w:sz w:val="21"/>
              </w:rPr>
            </w:pPr>
            <w:r>
              <w:rPr>
                <w:color w:val="auto"/>
                <w:sz w:val="21"/>
              </w:rPr>
              <w:t xml:space="preserve">联合体成员不超过 </w:t>
            </w:r>
            <w:r>
              <w:rPr>
                <w:rFonts w:ascii="Times New Roman" w:eastAsia="Times New Roman"/>
                <w:color w:val="auto"/>
                <w:sz w:val="21"/>
              </w:rPr>
              <w:t xml:space="preserve">2 </w:t>
            </w:r>
            <w:r>
              <w:rPr>
                <w:color w:val="auto"/>
                <w:sz w:val="21"/>
              </w:rPr>
              <w:t>家，联合体牵头单位必须为具有</w:t>
            </w:r>
            <w:r>
              <w:rPr>
                <w:rFonts w:hint="eastAsia"/>
                <w:color w:val="auto"/>
                <w:sz w:val="21"/>
                <w:lang w:eastAsia="zh-CN"/>
              </w:rPr>
              <w:t>市政公用工程</w:t>
            </w:r>
            <w:r>
              <w:rPr>
                <w:color w:val="auto"/>
                <w:sz w:val="21"/>
              </w:rPr>
              <w:t>施工总承包</w:t>
            </w:r>
            <w:r>
              <w:rPr>
                <w:rFonts w:hint="eastAsia"/>
                <w:color w:val="auto"/>
                <w:sz w:val="21"/>
                <w:lang w:eastAsia="zh-CN"/>
              </w:rPr>
              <w:t>贰</w:t>
            </w:r>
            <w:r>
              <w:rPr>
                <w:color w:val="auto"/>
                <w:sz w:val="21"/>
              </w:rPr>
              <w:t>级及以上资质的施工单位，联合体投标人除了需满足上述要求以外，同时需满足以下资格条件：</w:t>
            </w:r>
          </w:p>
          <w:p>
            <w:pPr>
              <w:pStyle w:val="45"/>
              <w:numPr>
                <w:ilvl w:val="0"/>
                <w:numId w:val="1"/>
              </w:numPr>
              <w:spacing w:before="63" w:line="302" w:lineRule="auto"/>
              <w:ind w:left="116" w:right="245" w:firstLine="420" w:firstLineChars="200"/>
              <w:rPr>
                <w:color w:val="auto"/>
                <w:spacing w:val="-3"/>
                <w:sz w:val="21"/>
              </w:rPr>
            </w:pPr>
            <w:r>
              <w:rPr>
                <w:color w:val="auto"/>
                <w:sz w:val="21"/>
              </w:rPr>
              <w:t xml:space="preserve">联合体各成员均应具有独立法人资格并依法取得企业营业执照，企业法人营业执照应保持有效，联合体成员不得超过2家； </w:t>
            </w:r>
            <w:r>
              <w:rPr>
                <w:color w:val="auto"/>
                <w:spacing w:val="-3"/>
                <w:sz w:val="21"/>
              </w:rPr>
              <w:t>联合体各方应当具备本招标项目相应专业的资质、关键岗位人员的要求。</w:t>
            </w:r>
          </w:p>
          <w:p>
            <w:pPr>
              <w:pStyle w:val="45"/>
              <w:numPr>
                <w:ilvl w:val="0"/>
                <w:numId w:val="0"/>
              </w:numPr>
              <w:spacing w:before="63" w:line="302" w:lineRule="auto"/>
              <w:ind w:right="245" w:rightChars="0" w:firstLine="408" w:firstLineChars="200"/>
              <w:rPr>
                <w:color w:val="auto"/>
                <w:sz w:val="21"/>
              </w:rPr>
            </w:pPr>
            <w:r>
              <w:rPr>
                <w:color w:val="auto"/>
                <w:spacing w:val="-3"/>
                <w:sz w:val="21"/>
              </w:rPr>
              <w:t xml:space="preserve"> </w:t>
            </w:r>
            <w:r>
              <w:rPr>
                <w:color w:val="auto"/>
                <w:sz w:val="21"/>
              </w:rPr>
              <w:t>2</w:t>
            </w:r>
            <w:r>
              <w:rPr>
                <w:color w:val="auto"/>
                <w:spacing w:val="-3"/>
                <w:sz w:val="21"/>
              </w:rPr>
              <w:t>、联合体成员应按招标文件提供的格式签订联合体协议书，明确联合体 牵头人和各方权利义务，联合体各成员在投标、签约与履行合同过程中， 依法向招标人承担连带责任。</w:t>
            </w:r>
            <w:r>
              <w:rPr>
                <w:color w:val="auto"/>
                <w:sz w:val="21"/>
              </w:rPr>
              <w:t xml:space="preserve"> </w:t>
            </w:r>
          </w:p>
          <w:p>
            <w:pPr>
              <w:pStyle w:val="45"/>
              <w:spacing w:before="4" w:line="302" w:lineRule="auto"/>
              <w:ind w:left="116" w:right="245" w:firstLine="420" w:firstLineChars="200"/>
              <w:rPr>
                <w:color w:val="auto"/>
                <w:sz w:val="21"/>
              </w:rPr>
            </w:pPr>
            <w:r>
              <w:rPr>
                <w:color w:val="auto"/>
                <w:sz w:val="21"/>
              </w:rPr>
              <w:t xml:space="preserve">3、由同一专业的单位组成的联合体，按照资质等级较低的单位确定资质等级。 </w:t>
            </w:r>
          </w:p>
          <w:p>
            <w:pPr>
              <w:pStyle w:val="45"/>
              <w:spacing w:before="2"/>
              <w:ind w:left="116" w:firstLine="420" w:firstLineChars="200"/>
              <w:rPr>
                <w:color w:val="auto"/>
                <w:sz w:val="21"/>
              </w:rPr>
            </w:pPr>
            <w:r>
              <w:rPr>
                <w:color w:val="auto"/>
                <w:sz w:val="21"/>
              </w:rPr>
              <w:t xml:space="preserve">4、联合体各方须明确具有施工资质的单位为联合体牵头人。 </w:t>
            </w:r>
          </w:p>
          <w:p>
            <w:pPr>
              <w:pStyle w:val="45"/>
              <w:spacing w:before="2"/>
              <w:ind w:left="116" w:firstLine="420" w:firstLineChars="200"/>
              <w:rPr>
                <w:color w:val="auto"/>
                <w:sz w:val="21"/>
              </w:rPr>
            </w:pPr>
            <w:r>
              <w:rPr>
                <w:color w:val="auto"/>
                <w:sz w:val="21"/>
              </w:rPr>
              <w:t xml:space="preserve">5、联合体成员签订联合体协议书后，不得再以自己的名义单独投标，也不得组成新的联合体或参加其他联合体在本项目中投标。 </w:t>
            </w:r>
          </w:p>
          <w:p>
            <w:pPr>
              <w:pStyle w:val="45"/>
              <w:spacing w:before="2"/>
              <w:ind w:left="116" w:firstLine="420" w:firstLineChars="200"/>
              <w:rPr>
                <w:color w:val="auto"/>
                <w:sz w:val="21"/>
              </w:rPr>
            </w:pPr>
            <w:r>
              <w:rPr>
                <w:color w:val="auto"/>
                <w:sz w:val="21"/>
              </w:rPr>
              <w:t xml:space="preserve">6、以联合体形式投标的，应当以联合体牵头人名义提交投标保证金，对联合体各成员均具有约束力。 </w:t>
            </w:r>
          </w:p>
          <w:p>
            <w:pPr>
              <w:pStyle w:val="45"/>
              <w:spacing w:before="2"/>
              <w:ind w:left="116" w:firstLine="420" w:firstLineChars="200"/>
              <w:rPr>
                <w:color w:val="auto"/>
                <w:sz w:val="21"/>
              </w:rPr>
            </w:pPr>
            <w:r>
              <w:rPr>
                <w:color w:val="auto"/>
                <w:sz w:val="21"/>
              </w:rPr>
              <w:t>7、联合体各成员法定代表人应当分别出具授权委托书，授权同一人作为代理人，办理投标事宜，授权书由联合体各成员法定代表人签字并加盖</w:t>
            </w:r>
            <w:r>
              <w:rPr>
                <w:rFonts w:hint="eastAsia"/>
                <w:color w:val="auto"/>
                <w:sz w:val="21"/>
                <w:lang w:eastAsia="zh-CN"/>
              </w:rPr>
              <w:t>企业公章</w:t>
            </w:r>
            <w:r>
              <w:rPr>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66" w:type="dxa"/>
          </w:tcPr>
          <w:p>
            <w:pPr>
              <w:pStyle w:val="45"/>
              <w:spacing w:before="5"/>
              <w:rPr>
                <w:rFonts w:ascii="黑体"/>
                <w:color w:val="auto"/>
                <w:sz w:val="29"/>
              </w:rPr>
            </w:pPr>
          </w:p>
          <w:p>
            <w:pPr>
              <w:pStyle w:val="45"/>
              <w:ind w:left="197" w:right="188"/>
              <w:jc w:val="center"/>
              <w:rPr>
                <w:rFonts w:ascii="Times New Roman"/>
                <w:color w:val="auto"/>
                <w:sz w:val="21"/>
              </w:rPr>
            </w:pPr>
            <w:r>
              <w:rPr>
                <w:rFonts w:ascii="Times New Roman"/>
                <w:color w:val="auto"/>
                <w:sz w:val="21"/>
              </w:rPr>
              <w:t>1.5</w:t>
            </w:r>
          </w:p>
        </w:tc>
        <w:tc>
          <w:tcPr>
            <w:tcW w:w="1770" w:type="dxa"/>
          </w:tcPr>
          <w:p>
            <w:pPr>
              <w:pStyle w:val="45"/>
              <w:spacing w:line="440" w:lineRule="exact"/>
              <w:ind w:left="462" w:right="136" w:hanging="315"/>
              <w:rPr>
                <w:color w:val="auto"/>
                <w:sz w:val="21"/>
              </w:rPr>
            </w:pPr>
            <w:r>
              <w:rPr>
                <w:color w:val="auto"/>
                <w:sz w:val="21"/>
              </w:rPr>
              <w:t>费用承担和设计成果补偿</w:t>
            </w:r>
          </w:p>
        </w:tc>
        <w:tc>
          <w:tcPr>
            <w:tcW w:w="6098" w:type="dxa"/>
          </w:tcPr>
          <w:p>
            <w:pPr>
              <w:pStyle w:val="45"/>
              <w:spacing w:before="161"/>
              <w:rPr>
                <w:color w:val="auto"/>
                <w:sz w:val="21"/>
              </w:rPr>
            </w:pPr>
            <w:r>
              <w:rPr>
                <w:color w:val="auto"/>
                <w:sz w:val="21"/>
              </w:rPr>
              <w:t xml:space="preserve">▉不补偿 </w:t>
            </w:r>
          </w:p>
          <w:p>
            <w:pPr>
              <w:pStyle w:val="45"/>
              <w:spacing w:before="51" w:line="367" w:lineRule="exact"/>
              <w:ind w:left="106"/>
              <w:rPr>
                <w:color w:val="auto"/>
                <w:sz w:val="21"/>
              </w:rPr>
            </w:pPr>
            <w:r>
              <w:rPr>
                <w:color w:val="auto"/>
                <w:sz w:val="21"/>
              </w:rPr>
              <w:t xml:space="preserve">□补偿，补偿标准：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66" w:type="dxa"/>
          </w:tcPr>
          <w:p>
            <w:pPr>
              <w:pStyle w:val="45"/>
              <w:rPr>
                <w:rFonts w:ascii="黑体"/>
                <w:color w:val="auto"/>
              </w:rPr>
            </w:pPr>
          </w:p>
          <w:p>
            <w:pPr>
              <w:pStyle w:val="45"/>
              <w:spacing w:before="6"/>
              <w:rPr>
                <w:rFonts w:ascii="黑体"/>
                <w:color w:val="auto"/>
                <w:sz w:val="30"/>
              </w:rPr>
            </w:pPr>
          </w:p>
          <w:p>
            <w:pPr>
              <w:pStyle w:val="45"/>
              <w:spacing w:before="1"/>
              <w:ind w:left="197" w:right="188"/>
              <w:jc w:val="center"/>
              <w:rPr>
                <w:rFonts w:ascii="Times New Roman"/>
                <w:color w:val="auto"/>
                <w:sz w:val="21"/>
              </w:rPr>
            </w:pPr>
            <w:r>
              <w:rPr>
                <w:rFonts w:ascii="Times New Roman"/>
                <w:color w:val="auto"/>
                <w:sz w:val="21"/>
              </w:rPr>
              <w:t>1.9.1</w:t>
            </w:r>
          </w:p>
        </w:tc>
        <w:tc>
          <w:tcPr>
            <w:tcW w:w="1770" w:type="dxa"/>
          </w:tcPr>
          <w:p>
            <w:pPr>
              <w:pStyle w:val="45"/>
              <w:rPr>
                <w:rFonts w:ascii="黑体"/>
                <w:color w:val="auto"/>
                <w:sz w:val="20"/>
              </w:rPr>
            </w:pPr>
          </w:p>
          <w:p>
            <w:pPr>
              <w:pStyle w:val="45"/>
              <w:rPr>
                <w:rFonts w:ascii="黑体"/>
                <w:color w:val="auto"/>
                <w:sz w:val="20"/>
              </w:rPr>
            </w:pPr>
          </w:p>
          <w:p>
            <w:pPr>
              <w:pStyle w:val="45"/>
              <w:spacing w:before="151"/>
              <w:ind w:left="7"/>
              <w:jc w:val="center"/>
              <w:rPr>
                <w:color w:val="auto"/>
                <w:sz w:val="21"/>
              </w:rPr>
            </w:pPr>
            <w:r>
              <w:rPr>
                <w:color w:val="auto"/>
                <w:sz w:val="21"/>
              </w:rPr>
              <w:t>踏勘现场</w:t>
            </w:r>
          </w:p>
        </w:tc>
        <w:tc>
          <w:tcPr>
            <w:tcW w:w="6098" w:type="dxa"/>
          </w:tcPr>
          <w:p>
            <w:pPr>
              <w:pStyle w:val="45"/>
              <w:spacing w:before="161"/>
              <w:rPr>
                <w:rFonts w:ascii="Times New Roman" w:eastAsiaTheme="minorEastAsia"/>
                <w:color w:val="auto"/>
                <w:sz w:val="21"/>
              </w:rPr>
            </w:pPr>
            <w:r>
              <w:rPr>
                <w:color w:val="auto"/>
                <w:sz w:val="21"/>
              </w:rPr>
              <w:t>▉不组织：本项目不集中组织现场踏勘，投标单位投标前务必自行踏勘现场，了解和熟悉工程场地和相关的周边环境情况，以便编制投标文件和充分考虑项目施工的相关责任及风险。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66" w:type="dxa"/>
          </w:tcPr>
          <w:p>
            <w:pPr>
              <w:pStyle w:val="45"/>
              <w:rPr>
                <w:rFonts w:ascii="黑体"/>
                <w:color w:val="auto"/>
              </w:rPr>
            </w:pPr>
          </w:p>
          <w:p>
            <w:pPr>
              <w:pStyle w:val="45"/>
              <w:spacing w:before="10"/>
              <w:rPr>
                <w:rFonts w:ascii="黑体"/>
                <w:color w:val="auto"/>
                <w:sz w:val="19"/>
              </w:rPr>
            </w:pPr>
          </w:p>
          <w:p>
            <w:pPr>
              <w:pStyle w:val="45"/>
              <w:ind w:left="197" w:right="186"/>
              <w:jc w:val="center"/>
              <w:rPr>
                <w:rFonts w:ascii="Times New Roman"/>
                <w:color w:val="auto"/>
                <w:sz w:val="21"/>
              </w:rPr>
            </w:pPr>
            <w:r>
              <w:rPr>
                <w:rFonts w:ascii="Times New Roman"/>
                <w:color w:val="auto"/>
                <w:sz w:val="21"/>
              </w:rPr>
              <w:t>1.11</w:t>
            </w:r>
          </w:p>
        </w:tc>
        <w:tc>
          <w:tcPr>
            <w:tcW w:w="1770" w:type="dxa"/>
          </w:tcPr>
          <w:p>
            <w:pPr>
              <w:pStyle w:val="45"/>
              <w:rPr>
                <w:rFonts w:ascii="黑体"/>
                <w:color w:val="auto"/>
                <w:sz w:val="20"/>
              </w:rPr>
            </w:pPr>
          </w:p>
          <w:p>
            <w:pPr>
              <w:pStyle w:val="45"/>
              <w:spacing w:before="3"/>
              <w:rPr>
                <w:rFonts w:ascii="黑体"/>
                <w:color w:val="auto"/>
                <w:sz w:val="21"/>
              </w:rPr>
            </w:pPr>
          </w:p>
          <w:p>
            <w:pPr>
              <w:pStyle w:val="45"/>
              <w:tabs>
                <w:tab w:val="left" w:pos="432"/>
              </w:tabs>
              <w:ind w:left="9"/>
              <w:jc w:val="center"/>
              <w:rPr>
                <w:color w:val="auto"/>
                <w:sz w:val="21"/>
              </w:rPr>
            </w:pPr>
            <w:r>
              <w:rPr>
                <w:color w:val="auto"/>
                <w:sz w:val="21"/>
              </w:rPr>
              <w:t>分</w:t>
            </w:r>
            <w:r>
              <w:rPr>
                <w:color w:val="auto"/>
                <w:sz w:val="21"/>
              </w:rPr>
              <w:tab/>
            </w:r>
            <w:r>
              <w:rPr>
                <w:color w:val="auto"/>
                <w:sz w:val="21"/>
              </w:rPr>
              <w:t>包</w:t>
            </w:r>
          </w:p>
        </w:tc>
        <w:tc>
          <w:tcPr>
            <w:tcW w:w="6098" w:type="dxa"/>
          </w:tcPr>
          <w:p>
            <w:pPr>
              <w:pStyle w:val="45"/>
              <w:spacing w:line="359" w:lineRule="exact"/>
              <w:ind w:left="646"/>
              <w:rPr>
                <w:color w:val="auto"/>
                <w:sz w:val="21"/>
              </w:rPr>
            </w:pPr>
            <w:r>
              <w:rPr>
                <w:color w:val="auto"/>
                <w:sz w:val="21"/>
              </w:rPr>
              <w:t>▉不允许</w:t>
            </w:r>
          </w:p>
          <w:p>
            <w:pPr>
              <w:pStyle w:val="45"/>
              <w:spacing w:before="6"/>
              <w:ind w:left="646"/>
              <w:rPr>
                <w:color w:val="auto"/>
                <w:sz w:val="21"/>
                <w:lang w:val="en-US"/>
              </w:rPr>
            </w:pPr>
            <w:r>
              <w:rPr>
                <w:color w:val="auto"/>
                <w:sz w:val="21"/>
              </w:rPr>
              <w:t>□允许，分包内容要求：</w:t>
            </w:r>
            <w:r>
              <w:rPr>
                <w:rFonts w:hint="eastAsia"/>
                <w:color w:val="auto"/>
                <w:sz w:val="21"/>
              </w:rPr>
              <w:t xml:space="preserve"> </w:t>
            </w:r>
            <w:r>
              <w:rPr>
                <w:rFonts w:hint="eastAsia"/>
                <w:color w:val="auto"/>
                <w:sz w:val="21"/>
                <w:lang w:val="en-US"/>
              </w:rPr>
              <w:t>专业工程；</w:t>
            </w:r>
          </w:p>
          <w:p>
            <w:pPr>
              <w:pStyle w:val="45"/>
              <w:spacing w:before="6"/>
              <w:ind w:left="646"/>
              <w:rPr>
                <w:color w:val="auto"/>
                <w:sz w:val="21"/>
              </w:rPr>
            </w:pPr>
            <w:r>
              <w:rPr>
                <w:rFonts w:hint="eastAsia"/>
                <w:color w:val="auto"/>
                <w:sz w:val="21"/>
                <w:lang w:val="en-US"/>
              </w:rPr>
              <w:t>承接分包的第三方资质要求：需具备相应的专业资质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66" w:type="dxa"/>
          </w:tcPr>
          <w:p>
            <w:pPr>
              <w:pStyle w:val="45"/>
              <w:spacing w:before="8"/>
              <w:rPr>
                <w:rFonts w:ascii="黑体"/>
                <w:color w:val="auto"/>
                <w:sz w:val="20"/>
              </w:rPr>
            </w:pPr>
          </w:p>
          <w:p>
            <w:pPr>
              <w:pStyle w:val="45"/>
              <w:ind w:left="197" w:right="188"/>
              <w:jc w:val="center"/>
              <w:rPr>
                <w:rFonts w:ascii="Times New Roman"/>
                <w:color w:val="auto"/>
                <w:sz w:val="21"/>
              </w:rPr>
            </w:pPr>
            <w:r>
              <w:rPr>
                <w:rFonts w:ascii="Times New Roman"/>
                <w:color w:val="auto"/>
                <w:sz w:val="21"/>
              </w:rPr>
              <w:t>1.12</w:t>
            </w:r>
          </w:p>
        </w:tc>
        <w:tc>
          <w:tcPr>
            <w:tcW w:w="1770" w:type="dxa"/>
          </w:tcPr>
          <w:p>
            <w:pPr>
              <w:pStyle w:val="45"/>
              <w:spacing w:before="11"/>
              <w:rPr>
                <w:rFonts w:ascii="黑体"/>
                <w:color w:val="auto"/>
                <w:sz w:val="19"/>
              </w:rPr>
            </w:pPr>
          </w:p>
          <w:p>
            <w:pPr>
              <w:pStyle w:val="45"/>
              <w:tabs>
                <w:tab w:val="left" w:pos="432"/>
              </w:tabs>
              <w:spacing w:before="1"/>
              <w:ind w:left="9"/>
              <w:jc w:val="center"/>
              <w:rPr>
                <w:color w:val="auto"/>
                <w:sz w:val="21"/>
              </w:rPr>
            </w:pPr>
            <w:r>
              <w:rPr>
                <w:color w:val="auto"/>
                <w:sz w:val="21"/>
              </w:rPr>
              <w:t>偏</w:t>
            </w:r>
            <w:r>
              <w:rPr>
                <w:color w:val="auto"/>
                <w:sz w:val="21"/>
              </w:rPr>
              <w:tab/>
            </w:r>
            <w:r>
              <w:rPr>
                <w:color w:val="auto"/>
                <w:sz w:val="21"/>
              </w:rPr>
              <w:t>离</w:t>
            </w:r>
          </w:p>
        </w:tc>
        <w:tc>
          <w:tcPr>
            <w:tcW w:w="6098" w:type="dxa"/>
          </w:tcPr>
          <w:p>
            <w:pPr>
              <w:pStyle w:val="45"/>
              <w:spacing w:line="408" w:lineRule="exact"/>
              <w:rPr>
                <w:color w:val="auto"/>
                <w:sz w:val="21"/>
              </w:rPr>
            </w:pPr>
            <w:r>
              <w:rPr>
                <w:rFonts w:hint="eastAsia" w:ascii="宋体" w:hAnsi="宋体" w:cs="宋体"/>
                <w:color w:val="auto"/>
                <w:kern w:val="0"/>
                <w:szCs w:val="21"/>
                <w:highlight w:val="none"/>
              </w:rPr>
              <w:t>■</w:t>
            </w:r>
            <w:r>
              <w:rPr>
                <w:color w:val="auto"/>
                <w:sz w:val="21"/>
              </w:rPr>
              <w:t>不允许</w:t>
            </w:r>
          </w:p>
          <w:p>
            <w:pPr>
              <w:pStyle w:val="45"/>
              <w:tabs>
                <w:tab w:val="left" w:pos="3781"/>
              </w:tabs>
              <w:spacing w:line="354" w:lineRule="exact"/>
              <w:rPr>
                <w:color w:val="auto"/>
                <w:sz w:val="21"/>
              </w:rPr>
            </w:pPr>
            <w:r>
              <w:rPr>
                <w:color w:val="auto"/>
                <w:sz w:val="21"/>
              </w:rPr>
              <w:t>□</w:t>
            </w:r>
            <w:r>
              <w:rPr>
                <w:rFonts w:hint="eastAsia" w:ascii="宋体" w:hAnsi="宋体" w:cs="宋体"/>
                <w:color w:val="auto"/>
                <w:kern w:val="0"/>
                <w:szCs w:val="21"/>
                <w:highlight w:val="none"/>
              </w:rPr>
              <w:t>允许</w:t>
            </w:r>
            <w:r>
              <w:rPr>
                <w:rFonts w:hint="eastAsia" w:ascii="宋体" w:hAnsi="宋体" w:eastAsia="宋体" w:cs="宋体"/>
                <w:color w:val="auto"/>
                <w:kern w:val="2"/>
                <w:sz w:val="21"/>
                <w:szCs w:val="21"/>
                <w:shd w:val="clear" w:color="auto" w:fill="FFFFFF"/>
              </w:rPr>
              <w:t>，本项目允许细微偏差，细微偏差不影响投标文件的合法性、有效性，由评标委员会按规定进行澄清。</w:t>
            </w:r>
            <w:r>
              <w:rPr>
                <w:rFonts w:hint="eastAsia" w:ascii="宋体" w:hAnsi="宋体" w:cs="宋体"/>
                <w:color w:val="auto"/>
                <w:kern w:val="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66" w:type="dxa"/>
          </w:tcPr>
          <w:p>
            <w:pPr>
              <w:pStyle w:val="45"/>
              <w:spacing w:before="8"/>
              <w:rPr>
                <w:rFonts w:ascii="黑体"/>
                <w:color w:val="auto"/>
                <w:sz w:val="17"/>
              </w:rPr>
            </w:pPr>
          </w:p>
          <w:p>
            <w:pPr>
              <w:pStyle w:val="45"/>
              <w:ind w:left="197" w:right="188"/>
              <w:jc w:val="center"/>
              <w:rPr>
                <w:rFonts w:ascii="Times New Roman"/>
                <w:color w:val="auto"/>
                <w:sz w:val="21"/>
              </w:rPr>
            </w:pPr>
            <w:r>
              <w:rPr>
                <w:rFonts w:ascii="Times New Roman"/>
                <w:color w:val="auto"/>
                <w:sz w:val="21"/>
              </w:rPr>
              <w:t>2.1</w:t>
            </w:r>
          </w:p>
        </w:tc>
        <w:tc>
          <w:tcPr>
            <w:tcW w:w="1770" w:type="dxa"/>
          </w:tcPr>
          <w:p>
            <w:pPr>
              <w:pStyle w:val="45"/>
              <w:spacing w:before="82" w:line="244" w:lineRule="auto"/>
              <w:ind w:left="462" w:right="136" w:hanging="315"/>
              <w:rPr>
                <w:color w:val="auto"/>
                <w:sz w:val="21"/>
              </w:rPr>
            </w:pPr>
            <w:r>
              <w:rPr>
                <w:color w:val="auto"/>
                <w:sz w:val="21"/>
              </w:rPr>
              <w:t>构成招标文件的其他资料</w:t>
            </w:r>
          </w:p>
        </w:tc>
        <w:tc>
          <w:tcPr>
            <w:tcW w:w="6098" w:type="dxa"/>
          </w:tcPr>
          <w:p>
            <w:pPr>
              <w:pStyle w:val="45"/>
              <w:spacing w:before="1"/>
              <w:rPr>
                <w:rFonts w:ascii="黑体"/>
                <w:color w:val="auto"/>
                <w:sz w:val="17"/>
              </w:rPr>
            </w:pPr>
          </w:p>
          <w:p>
            <w:pPr>
              <w:pStyle w:val="45"/>
              <w:spacing w:before="1"/>
              <w:ind w:left="425"/>
              <w:rPr>
                <w:color w:val="auto"/>
                <w:sz w:val="21"/>
              </w:rPr>
            </w:pPr>
            <w:r>
              <w:rPr>
                <w:color w:val="auto"/>
                <w:sz w:val="21"/>
              </w:rPr>
              <w:t>初步设计资料，概算资料、招标文件补遗等资料。</w:t>
            </w:r>
          </w:p>
        </w:tc>
      </w:tr>
    </w:tbl>
    <w:p>
      <w:pPr>
        <w:spacing w:line="250" w:lineRule="exact"/>
        <w:rPr>
          <w:color w:val="auto"/>
          <w:sz w:val="21"/>
        </w:rPr>
        <w:sectPr>
          <w:footerReference r:id="rId6" w:type="default"/>
          <w:pgSz w:w="11910" w:h="16850"/>
          <w:pgMar w:top="1480" w:right="1200" w:bottom="1060" w:left="1180" w:header="0" w:footer="800" w:gutter="0"/>
          <w:cols w:space="720" w:num="1"/>
        </w:sectPr>
      </w:pPr>
    </w:p>
    <w:tbl>
      <w:tblPr>
        <w:tblStyle w:val="34"/>
        <w:tblW w:w="8878"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1759"/>
        <w:gridCol w:w="6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58" w:type="dxa"/>
          </w:tcPr>
          <w:p>
            <w:pPr>
              <w:pStyle w:val="45"/>
              <w:spacing w:before="100"/>
              <w:ind w:left="197" w:right="188"/>
              <w:jc w:val="center"/>
              <w:rPr>
                <w:color w:val="auto"/>
                <w:sz w:val="21"/>
              </w:rPr>
            </w:pPr>
            <w:r>
              <w:rPr>
                <w:color w:val="auto"/>
                <w:sz w:val="21"/>
              </w:rPr>
              <w:t>条款号</w:t>
            </w:r>
          </w:p>
        </w:tc>
        <w:tc>
          <w:tcPr>
            <w:tcW w:w="1759" w:type="dxa"/>
          </w:tcPr>
          <w:p>
            <w:pPr>
              <w:pStyle w:val="45"/>
              <w:spacing w:before="100"/>
              <w:ind w:left="7"/>
              <w:jc w:val="center"/>
              <w:rPr>
                <w:color w:val="auto"/>
                <w:sz w:val="21"/>
              </w:rPr>
            </w:pPr>
            <w:r>
              <w:rPr>
                <w:color w:val="auto"/>
                <w:sz w:val="21"/>
              </w:rPr>
              <w:t>条款名称</w:t>
            </w:r>
          </w:p>
        </w:tc>
        <w:tc>
          <w:tcPr>
            <w:tcW w:w="6061" w:type="dxa"/>
          </w:tcPr>
          <w:p>
            <w:pPr>
              <w:pStyle w:val="45"/>
              <w:spacing w:before="100"/>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058" w:type="dxa"/>
          </w:tcPr>
          <w:p>
            <w:pPr>
              <w:pStyle w:val="45"/>
              <w:spacing w:before="4"/>
              <w:rPr>
                <w:rFonts w:ascii="黑体"/>
                <w:color w:val="auto"/>
                <w:sz w:val="31"/>
              </w:rPr>
            </w:pPr>
          </w:p>
          <w:p>
            <w:pPr>
              <w:pStyle w:val="45"/>
              <w:ind w:left="197" w:right="188"/>
              <w:jc w:val="center"/>
              <w:rPr>
                <w:rFonts w:ascii="Times New Roman"/>
                <w:color w:val="auto"/>
                <w:sz w:val="21"/>
              </w:rPr>
            </w:pPr>
            <w:r>
              <w:rPr>
                <w:rFonts w:ascii="Times New Roman"/>
                <w:color w:val="auto"/>
                <w:sz w:val="21"/>
              </w:rPr>
              <w:t>2.2.1</w:t>
            </w:r>
          </w:p>
        </w:tc>
        <w:tc>
          <w:tcPr>
            <w:tcW w:w="1759" w:type="dxa"/>
          </w:tcPr>
          <w:p>
            <w:pPr>
              <w:pStyle w:val="45"/>
              <w:spacing w:before="121" w:line="242" w:lineRule="auto"/>
              <w:ind w:left="148" w:right="136"/>
              <w:jc w:val="center"/>
              <w:rPr>
                <w:color w:val="auto"/>
                <w:sz w:val="21"/>
              </w:rPr>
            </w:pPr>
            <w:r>
              <w:rPr>
                <w:color w:val="auto"/>
                <w:sz w:val="21"/>
              </w:rPr>
              <w:t>投标人要求澄清招标文件的时间和方式</w:t>
            </w:r>
          </w:p>
        </w:tc>
        <w:tc>
          <w:tcPr>
            <w:tcW w:w="6061" w:type="dxa"/>
          </w:tcPr>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截止时间：在投标截止时间10日前。</w:t>
            </w:r>
          </w:p>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投标人要求澄清招标文件的提问方式：</w:t>
            </w:r>
          </w:p>
          <w:p>
            <w:pPr>
              <w:pStyle w:val="45"/>
              <w:spacing w:line="354" w:lineRule="exact"/>
              <w:rPr>
                <w:color w:val="auto"/>
                <w:sz w:val="21"/>
              </w:rPr>
            </w:pPr>
            <w:r>
              <w:rPr>
                <w:rFonts w:hint="eastAsia" w:ascii="宋体" w:hAnsi="宋体" w:cs="宋体"/>
                <w:color w:val="auto"/>
                <w:kern w:val="0"/>
                <w:szCs w:val="21"/>
                <w:highlight w:val="none"/>
              </w:rPr>
              <w:t>■</w:t>
            </w:r>
            <w:r>
              <w:rPr>
                <w:rFonts w:hint="eastAsia" w:ascii="宋体" w:hAnsi="宋体" w:cs="宋体"/>
                <w:b/>
                <w:color w:val="auto"/>
                <w:szCs w:val="21"/>
                <w:lang w:val="en-US" w:eastAsia="zh-CN"/>
              </w:rPr>
              <w:t>网上提交</w:t>
            </w:r>
            <w:r>
              <w:rPr>
                <w:rFonts w:hint="eastAsia" w:ascii="宋体" w:hAnsi="宋体" w:eastAsia="宋体" w:cs="宋体"/>
                <w:color w:val="auto"/>
                <w:szCs w:val="21"/>
              </w:rPr>
              <w:t>，</w:t>
            </w:r>
            <w:r>
              <w:rPr>
                <w:rFonts w:hint="eastAsia" w:ascii="宋体" w:hAnsi="宋体" w:cs="宋体"/>
                <w:color w:val="auto"/>
                <w:szCs w:val="21"/>
                <w:lang w:val="en-US" w:eastAsia="zh-CN"/>
              </w:rPr>
              <w:t>在</w:t>
            </w:r>
            <w:r>
              <w:rPr>
                <w:rFonts w:hint="eastAsia" w:ascii="宋体" w:hAnsi="宋体" w:cs="宋体"/>
                <w:color w:val="auto"/>
                <w:kern w:val="0"/>
                <w:szCs w:val="21"/>
                <w:lang w:val="en-US" w:eastAsia="zh-CN" w:bidi="ar"/>
              </w:rPr>
              <w:t>岳</w:t>
            </w:r>
            <w:r>
              <w:rPr>
                <w:rFonts w:hint="eastAsia" w:ascii="宋体" w:hAnsi="宋体" w:eastAsia="宋体" w:cs="宋体"/>
                <w:color w:val="auto"/>
                <w:kern w:val="0"/>
                <w:szCs w:val="21"/>
                <w:lang w:bidi="ar"/>
              </w:rPr>
              <w:t>阳市住房和城乡建设局网</w:t>
            </w:r>
            <w:r>
              <w:rPr>
                <w:rFonts w:hint="eastAsia" w:ascii="宋体" w:hAnsi="宋体" w:eastAsia="宋体" w:cs="宋体"/>
                <w:color w:val="auto"/>
                <w:kern w:val="0"/>
                <w:szCs w:val="21"/>
                <w:lang w:eastAsia="zh-CN" w:bidi="ar"/>
              </w:rPr>
              <w:t>和岳阳市公共资源交易中心网</w:t>
            </w:r>
            <w:r>
              <w:rPr>
                <w:rFonts w:hint="eastAsia" w:ascii="宋体" w:hAnsi="宋体" w:cs="宋体"/>
                <w:color w:val="auto"/>
                <w:kern w:val="0"/>
                <w:szCs w:val="21"/>
                <w:lang w:val="en-US" w:eastAsia="zh-CN" w:bidi="ar"/>
              </w:rPr>
              <w:t>本项目招标公告页面在线提交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58" w:type="dxa"/>
          </w:tcPr>
          <w:p>
            <w:pPr>
              <w:pStyle w:val="45"/>
              <w:spacing w:before="118"/>
              <w:ind w:left="197" w:right="188"/>
              <w:jc w:val="center"/>
              <w:rPr>
                <w:rFonts w:ascii="Times New Roman"/>
                <w:color w:val="auto"/>
                <w:sz w:val="21"/>
              </w:rPr>
            </w:pPr>
            <w:r>
              <w:rPr>
                <w:rFonts w:ascii="Times New Roman"/>
                <w:color w:val="auto"/>
                <w:sz w:val="21"/>
              </w:rPr>
              <w:t>2.2.2</w:t>
            </w:r>
          </w:p>
        </w:tc>
        <w:tc>
          <w:tcPr>
            <w:tcW w:w="1759" w:type="dxa"/>
          </w:tcPr>
          <w:p>
            <w:pPr>
              <w:pStyle w:val="45"/>
              <w:spacing w:before="109"/>
              <w:ind w:left="9"/>
              <w:jc w:val="center"/>
              <w:rPr>
                <w:color w:val="auto"/>
                <w:sz w:val="21"/>
              </w:rPr>
            </w:pPr>
            <w:r>
              <w:rPr>
                <w:color w:val="auto"/>
                <w:sz w:val="21"/>
              </w:rPr>
              <w:t>投标截止时间</w:t>
            </w:r>
          </w:p>
        </w:tc>
        <w:tc>
          <w:tcPr>
            <w:tcW w:w="6061" w:type="dxa"/>
          </w:tcPr>
          <w:p>
            <w:pPr>
              <w:pStyle w:val="45"/>
              <w:spacing w:before="109"/>
              <w:ind w:left="425"/>
              <w:rPr>
                <w:color w:val="auto"/>
                <w:sz w:val="21"/>
              </w:rPr>
            </w:pPr>
            <w:r>
              <w:rPr>
                <w:rFonts w:ascii="Times New Roman" w:eastAsia="Times New Roman"/>
                <w:color w:val="auto"/>
                <w:sz w:val="21"/>
              </w:rPr>
              <w:t>202</w:t>
            </w:r>
            <w:r>
              <w:rPr>
                <w:rFonts w:hint="eastAsia" w:ascii="Times New Roman" w:eastAsia="宋体"/>
                <w:color w:val="auto"/>
                <w:sz w:val="21"/>
                <w:lang w:val="en-US" w:eastAsia="zh-CN"/>
              </w:rPr>
              <w:t>1</w:t>
            </w:r>
            <w:r>
              <w:rPr>
                <w:rFonts w:ascii="Times New Roman" w:eastAsia="Times New Roman"/>
                <w:color w:val="auto"/>
                <w:sz w:val="21"/>
              </w:rPr>
              <w:t xml:space="preserve"> </w:t>
            </w:r>
            <w:r>
              <w:rPr>
                <w:color w:val="auto"/>
                <w:sz w:val="21"/>
              </w:rPr>
              <w:t>年</w:t>
            </w:r>
            <w:r>
              <w:rPr>
                <w:rFonts w:hint="eastAsia" w:ascii="Times New Roman" w:eastAsiaTheme="minorEastAsia"/>
                <w:color w:val="auto"/>
                <w:sz w:val="21"/>
                <w:lang w:val="en-US"/>
              </w:rPr>
              <w:t xml:space="preserve"> </w:t>
            </w:r>
            <w:r>
              <w:rPr>
                <w:rFonts w:hint="eastAsia" w:ascii="Times New Roman" w:eastAsiaTheme="minorEastAsia"/>
                <w:color w:val="auto"/>
                <w:sz w:val="21"/>
                <w:lang w:val="en-US" w:eastAsia="zh-CN"/>
              </w:rPr>
              <w:t xml:space="preserve">1  </w:t>
            </w:r>
            <w:r>
              <w:rPr>
                <w:color w:val="auto"/>
                <w:sz w:val="21"/>
              </w:rPr>
              <w:t>月</w:t>
            </w:r>
            <w:r>
              <w:rPr>
                <w:rFonts w:hint="eastAsia"/>
                <w:color w:val="auto"/>
                <w:sz w:val="21"/>
                <w:lang w:val="en-US" w:eastAsia="zh-CN"/>
              </w:rPr>
              <w:t>18</w:t>
            </w:r>
            <w:r>
              <w:rPr>
                <w:color w:val="auto"/>
                <w:sz w:val="21"/>
              </w:rPr>
              <w:t xml:space="preserve">日 </w:t>
            </w:r>
            <w:r>
              <w:rPr>
                <w:rFonts w:hint="eastAsia"/>
                <w:color w:val="auto"/>
                <w:sz w:val="21"/>
                <w:lang w:val="en-US" w:eastAsia="zh-CN"/>
              </w:rPr>
              <w:t>13</w:t>
            </w:r>
            <w:r>
              <w:rPr>
                <w:rFonts w:ascii="Times New Roman" w:eastAsia="Times New Roman"/>
                <w:color w:val="auto"/>
                <w:sz w:val="21"/>
              </w:rPr>
              <w:t xml:space="preserve"> </w:t>
            </w:r>
            <w:r>
              <w:rPr>
                <w:color w:val="auto"/>
                <w:sz w:val="21"/>
              </w:rPr>
              <w:t>时</w:t>
            </w:r>
            <w:r>
              <w:rPr>
                <w:rFonts w:hint="eastAsia"/>
                <w:color w:val="auto"/>
                <w:sz w:val="21"/>
                <w:lang w:val="en-US" w:eastAsia="zh-CN"/>
              </w:rPr>
              <w:t>30</w:t>
            </w:r>
            <w:r>
              <w:rPr>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1058" w:type="dxa"/>
          </w:tcPr>
          <w:p>
            <w:pPr>
              <w:pStyle w:val="45"/>
              <w:rPr>
                <w:rFonts w:ascii="黑体"/>
                <w:color w:val="auto"/>
              </w:rPr>
            </w:pPr>
          </w:p>
          <w:p>
            <w:pPr>
              <w:pStyle w:val="45"/>
              <w:spacing w:before="4"/>
              <w:rPr>
                <w:rFonts w:ascii="黑体"/>
                <w:color w:val="auto"/>
                <w:sz w:val="21"/>
              </w:rPr>
            </w:pPr>
          </w:p>
          <w:p>
            <w:pPr>
              <w:pStyle w:val="45"/>
              <w:ind w:left="197" w:right="188"/>
              <w:jc w:val="center"/>
              <w:rPr>
                <w:rFonts w:ascii="Times New Roman"/>
                <w:color w:val="auto"/>
                <w:sz w:val="21"/>
              </w:rPr>
            </w:pPr>
            <w:r>
              <w:rPr>
                <w:rFonts w:ascii="Times New Roman"/>
                <w:color w:val="auto"/>
                <w:sz w:val="21"/>
              </w:rPr>
              <w:t>2.2.3</w:t>
            </w:r>
          </w:p>
        </w:tc>
        <w:tc>
          <w:tcPr>
            <w:tcW w:w="1759" w:type="dxa"/>
          </w:tcPr>
          <w:p>
            <w:pPr>
              <w:pStyle w:val="45"/>
              <w:spacing w:before="5"/>
              <w:rPr>
                <w:rFonts w:ascii="黑体"/>
                <w:color w:val="auto"/>
                <w:sz w:val="21"/>
              </w:rPr>
            </w:pPr>
          </w:p>
          <w:p>
            <w:pPr>
              <w:pStyle w:val="45"/>
              <w:spacing w:line="242" w:lineRule="auto"/>
              <w:ind w:left="356" w:right="347"/>
              <w:jc w:val="both"/>
              <w:rPr>
                <w:color w:val="auto"/>
                <w:sz w:val="21"/>
              </w:rPr>
            </w:pPr>
            <w:r>
              <w:rPr>
                <w:color w:val="auto"/>
                <w:sz w:val="21"/>
              </w:rPr>
              <w:t>澄清和修改招标文件的时间及方式</w:t>
            </w:r>
          </w:p>
        </w:tc>
        <w:tc>
          <w:tcPr>
            <w:tcW w:w="6061" w:type="dxa"/>
          </w:tcPr>
          <w:p>
            <w:pPr>
              <w:pStyle w:val="45"/>
              <w:spacing w:before="1" w:line="242" w:lineRule="auto"/>
              <w:ind w:left="106" w:right="93" w:firstLine="422"/>
              <w:jc w:val="both"/>
              <w:rPr>
                <w:color w:val="auto"/>
                <w:spacing w:val="-3"/>
                <w:sz w:val="21"/>
              </w:rPr>
            </w:pPr>
            <w:r>
              <w:rPr>
                <w:color w:val="auto"/>
                <w:spacing w:val="-4"/>
                <w:sz w:val="21"/>
              </w:rPr>
              <w:t>招标人书面澄清的时间：招标人可以澄清或者修改招标文件</w:t>
            </w:r>
            <w:r>
              <w:rPr>
                <w:color w:val="auto"/>
                <w:spacing w:val="-3"/>
                <w:sz w:val="21"/>
              </w:rPr>
              <w:t>的内容，澄清或者修改的内容可能影响投标文件编制的，澄清或</w:t>
            </w:r>
            <w:r>
              <w:rPr>
                <w:color w:val="auto"/>
                <w:spacing w:val="-6"/>
                <w:sz w:val="21"/>
              </w:rPr>
              <w:t xml:space="preserve">者修改招标文件的时间在投标截止时间 </w:t>
            </w:r>
            <w:r>
              <w:rPr>
                <w:rFonts w:ascii="Times New Roman" w:eastAsia="Times New Roman"/>
                <w:color w:val="auto"/>
                <w:sz w:val="21"/>
              </w:rPr>
              <w:t xml:space="preserve">15 </w:t>
            </w:r>
            <w:r>
              <w:rPr>
                <w:color w:val="auto"/>
                <w:spacing w:val="-10"/>
                <w:sz w:val="21"/>
              </w:rPr>
              <w:t xml:space="preserve">日前，不足 </w:t>
            </w:r>
            <w:r>
              <w:rPr>
                <w:rFonts w:ascii="Times New Roman" w:eastAsia="Times New Roman"/>
                <w:color w:val="auto"/>
                <w:sz w:val="21"/>
              </w:rPr>
              <w:t xml:space="preserve">15 </w:t>
            </w:r>
            <w:r>
              <w:rPr>
                <w:color w:val="auto"/>
                <w:spacing w:val="-2"/>
                <w:sz w:val="21"/>
              </w:rPr>
              <w:t xml:space="preserve">日的， </w:t>
            </w:r>
            <w:r>
              <w:rPr>
                <w:color w:val="auto"/>
                <w:spacing w:val="-3"/>
                <w:sz w:val="21"/>
              </w:rPr>
              <w:t>顺延投标截止时间。</w:t>
            </w:r>
          </w:p>
          <w:p>
            <w:pPr>
              <w:spacing w:line="360" w:lineRule="exact"/>
              <w:rPr>
                <w:rFonts w:hint="eastAsia" w:ascii="宋体" w:hAnsi="宋体" w:eastAsia="宋体" w:cs="宋体"/>
                <w:color w:val="auto"/>
                <w:spacing w:val="-3"/>
                <w:sz w:val="21"/>
                <w:szCs w:val="22"/>
                <w:lang w:val="zh-CN" w:eastAsia="zh-CN" w:bidi="zh-CN"/>
              </w:rPr>
            </w:pPr>
            <w:r>
              <w:rPr>
                <w:rFonts w:hint="eastAsia" w:ascii="宋体" w:hAnsi="宋体" w:eastAsia="宋体" w:cs="宋体"/>
                <w:color w:val="auto"/>
                <w:spacing w:val="-3"/>
                <w:sz w:val="21"/>
                <w:szCs w:val="22"/>
                <w:lang w:val="zh-CN" w:eastAsia="zh-CN" w:bidi="zh-CN"/>
              </w:rPr>
              <w:t>澄清内容不影响投标文件编制的截止时间：在投标截止时间3日前；</w:t>
            </w:r>
          </w:p>
          <w:p>
            <w:pPr>
              <w:spacing w:line="360" w:lineRule="exact"/>
              <w:rPr>
                <w:color w:val="auto"/>
                <w:spacing w:val="-3"/>
                <w:sz w:val="21"/>
              </w:rPr>
            </w:pPr>
            <w:r>
              <w:rPr>
                <w:rFonts w:hint="eastAsia" w:ascii="宋体" w:hAnsi="宋体" w:cs="宋体"/>
                <w:color w:val="auto"/>
                <w:kern w:val="0"/>
                <w:szCs w:val="21"/>
                <w:highlight w:val="none"/>
              </w:rPr>
              <w:t>招标人澄清文件发布方式：</w:t>
            </w:r>
          </w:p>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■在湖南省招标投标监管网、岳阳市</w:t>
            </w:r>
            <w:r>
              <w:rPr>
                <w:rFonts w:hint="eastAsia" w:ascii="宋体" w:hAnsi="宋体" w:cs="宋体"/>
                <w:color w:val="auto"/>
                <w:kern w:val="0"/>
                <w:szCs w:val="21"/>
                <w:highlight w:val="none"/>
                <w:lang w:eastAsia="zh-CN"/>
              </w:rPr>
              <w:t>住房和城乡建设局网</w:t>
            </w:r>
            <w:r>
              <w:rPr>
                <w:rFonts w:hint="eastAsia" w:ascii="宋体" w:hAnsi="宋体" w:cs="宋体"/>
                <w:color w:val="auto"/>
                <w:kern w:val="0"/>
                <w:szCs w:val="21"/>
                <w:highlight w:val="none"/>
              </w:rPr>
              <w:t>、岳阳市公共资源交易网上发布，投标人自行下载</w:t>
            </w:r>
          </w:p>
          <w:p>
            <w:pPr>
              <w:pStyle w:val="45"/>
              <w:spacing w:before="2" w:line="252" w:lineRule="exact"/>
              <w:ind w:left="425"/>
              <w:rPr>
                <w:color w:val="auto"/>
                <w:sz w:val="21"/>
              </w:rPr>
            </w:pPr>
            <w:r>
              <w:rPr>
                <w:rFonts w:hint="eastAsia" w:ascii="宋体" w:hAnsi="宋体" w:cs="宋体"/>
                <w:color w:val="auto"/>
                <w:kern w:val="0"/>
                <w:szCs w:val="21"/>
                <w:highlight w:val="none"/>
              </w:rPr>
              <w:t>□书面发布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8" w:type="dxa"/>
          </w:tcPr>
          <w:p>
            <w:pPr>
              <w:pStyle w:val="45"/>
              <w:spacing w:before="145"/>
              <w:ind w:left="197" w:right="188"/>
              <w:jc w:val="center"/>
              <w:rPr>
                <w:rFonts w:ascii="Times New Roman"/>
                <w:color w:val="auto"/>
                <w:sz w:val="21"/>
              </w:rPr>
            </w:pPr>
            <w:r>
              <w:rPr>
                <w:rFonts w:ascii="Times New Roman"/>
                <w:color w:val="auto"/>
                <w:sz w:val="21"/>
              </w:rPr>
              <w:t>3.1.1</w:t>
            </w:r>
          </w:p>
        </w:tc>
        <w:tc>
          <w:tcPr>
            <w:tcW w:w="1759" w:type="dxa"/>
          </w:tcPr>
          <w:p>
            <w:pPr>
              <w:pStyle w:val="45"/>
              <w:spacing w:before="1"/>
              <w:ind w:left="9"/>
              <w:jc w:val="center"/>
              <w:rPr>
                <w:color w:val="auto"/>
                <w:sz w:val="21"/>
              </w:rPr>
            </w:pPr>
            <w:r>
              <w:rPr>
                <w:color w:val="auto"/>
                <w:sz w:val="21"/>
              </w:rPr>
              <w:t>构成投标文件的</w:t>
            </w:r>
          </w:p>
          <w:p>
            <w:pPr>
              <w:pStyle w:val="45"/>
              <w:spacing w:before="2" w:line="252" w:lineRule="exact"/>
              <w:ind w:left="7"/>
              <w:jc w:val="center"/>
              <w:rPr>
                <w:color w:val="auto"/>
                <w:sz w:val="21"/>
              </w:rPr>
            </w:pPr>
            <w:r>
              <w:rPr>
                <w:color w:val="auto"/>
                <w:sz w:val="21"/>
              </w:rPr>
              <w:t>的其他材料</w:t>
            </w:r>
          </w:p>
        </w:tc>
        <w:tc>
          <w:tcPr>
            <w:tcW w:w="6061" w:type="dxa"/>
          </w:tcPr>
          <w:p>
            <w:pPr>
              <w:pStyle w:val="45"/>
              <w:spacing w:before="138"/>
              <w:ind w:left="425"/>
              <w:rPr>
                <w:color w:val="auto"/>
                <w:sz w:val="21"/>
              </w:rPr>
            </w:pPr>
            <w:r>
              <w:rPr>
                <w:color w:val="auto"/>
                <w:sz w:val="21"/>
              </w:rPr>
              <w:t>投标文件的澄清回复、说明及相关补充资料（如有）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58" w:type="dxa"/>
          </w:tcPr>
          <w:p>
            <w:pPr>
              <w:pStyle w:val="45"/>
              <w:spacing w:before="106"/>
              <w:ind w:left="197" w:right="188"/>
              <w:jc w:val="center"/>
              <w:rPr>
                <w:rFonts w:ascii="Times New Roman"/>
                <w:color w:val="auto"/>
                <w:sz w:val="21"/>
              </w:rPr>
            </w:pPr>
            <w:r>
              <w:rPr>
                <w:rFonts w:ascii="Times New Roman"/>
                <w:color w:val="auto"/>
                <w:sz w:val="21"/>
              </w:rPr>
              <w:t>3.3.1</w:t>
            </w:r>
          </w:p>
        </w:tc>
        <w:tc>
          <w:tcPr>
            <w:tcW w:w="1759" w:type="dxa"/>
          </w:tcPr>
          <w:p>
            <w:pPr>
              <w:pStyle w:val="45"/>
              <w:spacing w:before="99"/>
              <w:ind w:left="7"/>
              <w:jc w:val="center"/>
              <w:rPr>
                <w:color w:val="auto"/>
                <w:sz w:val="21"/>
              </w:rPr>
            </w:pPr>
            <w:r>
              <w:rPr>
                <w:color w:val="auto"/>
                <w:sz w:val="21"/>
              </w:rPr>
              <w:t>投标有效期</w:t>
            </w:r>
          </w:p>
        </w:tc>
        <w:tc>
          <w:tcPr>
            <w:tcW w:w="6061" w:type="dxa"/>
          </w:tcPr>
          <w:p>
            <w:pPr>
              <w:pStyle w:val="45"/>
              <w:spacing w:before="99"/>
              <w:ind w:left="425"/>
              <w:rPr>
                <w:color w:val="auto"/>
                <w:sz w:val="21"/>
              </w:rPr>
            </w:pPr>
            <w:r>
              <w:rPr>
                <w:color w:val="auto"/>
                <w:sz w:val="21"/>
              </w:rPr>
              <w:t>自投标截止之日起</w:t>
            </w:r>
            <w:r>
              <w:rPr>
                <w:color w:val="auto"/>
                <w:sz w:val="21"/>
                <w:u w:val="single"/>
              </w:rPr>
              <w:t xml:space="preserve"> </w:t>
            </w:r>
            <w:r>
              <w:rPr>
                <w:rFonts w:ascii="Times New Roman" w:eastAsia="Times New Roman"/>
                <w:color w:val="auto"/>
                <w:sz w:val="21"/>
                <w:u w:val="single"/>
              </w:rPr>
              <w:t>120</w:t>
            </w:r>
            <w:r>
              <w:rPr>
                <w:rFonts w:ascii="Times New Roman" w:eastAsia="Times New Roman"/>
                <w:color w:val="auto"/>
                <w:sz w:val="21"/>
              </w:rPr>
              <w:t xml:space="preserve"> </w:t>
            </w:r>
            <w:r>
              <w:rPr>
                <w:color w:val="auto"/>
                <w:sz w:val="21"/>
              </w:rPr>
              <w:t>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8" w:type="dxa"/>
          </w:tcPr>
          <w:p>
            <w:pPr>
              <w:pStyle w:val="45"/>
              <w:spacing w:before="135"/>
              <w:ind w:left="197" w:right="188"/>
              <w:jc w:val="center"/>
              <w:rPr>
                <w:rFonts w:ascii="Times New Roman"/>
                <w:color w:val="auto"/>
                <w:sz w:val="21"/>
              </w:rPr>
            </w:pPr>
            <w:r>
              <w:rPr>
                <w:rFonts w:ascii="Times New Roman"/>
                <w:color w:val="auto"/>
                <w:sz w:val="21"/>
              </w:rPr>
              <w:t>3.4.1</w:t>
            </w:r>
          </w:p>
        </w:tc>
        <w:tc>
          <w:tcPr>
            <w:tcW w:w="1759" w:type="dxa"/>
          </w:tcPr>
          <w:p>
            <w:pPr>
              <w:pStyle w:val="45"/>
              <w:spacing w:before="125"/>
              <w:ind w:left="7"/>
              <w:jc w:val="center"/>
              <w:rPr>
                <w:color w:val="auto"/>
                <w:sz w:val="21"/>
              </w:rPr>
            </w:pPr>
            <w:r>
              <w:rPr>
                <w:color w:val="auto"/>
                <w:sz w:val="21"/>
              </w:rPr>
              <w:t>投标保证</w:t>
            </w:r>
          </w:p>
        </w:tc>
        <w:tc>
          <w:tcPr>
            <w:tcW w:w="6061" w:type="dxa"/>
          </w:tcPr>
          <w:p>
            <w:pPr>
              <w:pStyle w:val="45"/>
              <w:spacing w:before="125"/>
              <w:ind w:left="425"/>
              <w:rPr>
                <w:color w:val="auto"/>
                <w:sz w:val="21"/>
              </w:rPr>
            </w:pPr>
            <w:r>
              <w:rPr>
                <w:color w:val="auto"/>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58" w:type="dxa"/>
          </w:tcPr>
          <w:p>
            <w:pPr>
              <w:pStyle w:val="45"/>
              <w:spacing w:before="8"/>
              <w:rPr>
                <w:rFonts w:ascii="黑体"/>
                <w:color w:val="auto"/>
                <w:sz w:val="20"/>
              </w:rPr>
            </w:pPr>
          </w:p>
          <w:p>
            <w:pPr>
              <w:pStyle w:val="45"/>
              <w:ind w:left="197" w:right="188"/>
              <w:jc w:val="center"/>
              <w:rPr>
                <w:rFonts w:ascii="Times New Roman"/>
                <w:color w:val="auto"/>
                <w:sz w:val="21"/>
              </w:rPr>
            </w:pPr>
            <w:r>
              <w:rPr>
                <w:rFonts w:ascii="Times New Roman"/>
                <w:color w:val="auto"/>
                <w:sz w:val="21"/>
              </w:rPr>
              <w:t>3.6</w:t>
            </w:r>
          </w:p>
        </w:tc>
        <w:tc>
          <w:tcPr>
            <w:tcW w:w="1759" w:type="dxa"/>
          </w:tcPr>
          <w:p>
            <w:pPr>
              <w:pStyle w:val="45"/>
              <w:spacing w:before="118" w:line="244" w:lineRule="auto"/>
              <w:ind w:left="356" w:right="136" w:hanging="209"/>
              <w:rPr>
                <w:color w:val="auto"/>
                <w:sz w:val="21"/>
              </w:rPr>
            </w:pPr>
            <w:r>
              <w:rPr>
                <w:color w:val="auto"/>
                <w:sz w:val="21"/>
              </w:rPr>
              <w:t>是否允许递交备选投标方案</w:t>
            </w:r>
          </w:p>
        </w:tc>
        <w:tc>
          <w:tcPr>
            <w:tcW w:w="6061" w:type="dxa"/>
          </w:tcPr>
          <w:p>
            <w:pPr>
              <w:pStyle w:val="45"/>
              <w:spacing w:line="408" w:lineRule="exact"/>
              <w:ind w:left="646"/>
              <w:rPr>
                <w:color w:val="auto"/>
                <w:sz w:val="21"/>
              </w:rPr>
            </w:pPr>
            <w:r>
              <w:rPr>
                <w:rFonts w:hint="eastAsia" w:ascii="MS Gothic" w:hAnsi="MS Gothic" w:eastAsia="MS Gothic"/>
                <w:color w:val="auto"/>
                <w:sz w:val="32"/>
              </w:rPr>
              <w:t>☑</w:t>
            </w:r>
            <w:r>
              <w:rPr>
                <w:color w:val="auto"/>
                <w:sz w:val="21"/>
              </w:rPr>
              <w:t>不允许</w:t>
            </w:r>
          </w:p>
          <w:p>
            <w:pPr>
              <w:pStyle w:val="45"/>
              <w:spacing w:line="354" w:lineRule="exact"/>
              <w:ind w:left="646"/>
              <w:rPr>
                <w:color w:val="auto"/>
                <w:sz w:val="21"/>
              </w:rPr>
            </w:pPr>
            <w:r>
              <w:rPr>
                <w:rFonts w:ascii="Times New Roman" w:hAnsi="Times New Roman" w:eastAsia="Times New Roman"/>
                <w:color w:val="auto"/>
                <w:sz w:val="32"/>
              </w:rPr>
              <w:t>□</w:t>
            </w:r>
            <w:r>
              <w:rPr>
                <w:color w:val="auto"/>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1058" w:type="dxa"/>
          </w:tcPr>
          <w:p>
            <w:pPr>
              <w:pStyle w:val="45"/>
              <w:rPr>
                <w:rFonts w:ascii="黑体"/>
                <w:color w:val="auto"/>
              </w:rPr>
            </w:pPr>
          </w:p>
          <w:p>
            <w:pPr>
              <w:pStyle w:val="45"/>
              <w:spacing w:before="4"/>
              <w:rPr>
                <w:rFonts w:ascii="黑体"/>
                <w:color w:val="auto"/>
                <w:sz w:val="21"/>
              </w:rPr>
            </w:pPr>
          </w:p>
          <w:p>
            <w:pPr>
              <w:pStyle w:val="45"/>
              <w:ind w:left="197" w:right="188"/>
              <w:jc w:val="center"/>
              <w:rPr>
                <w:rFonts w:ascii="Times New Roman"/>
                <w:color w:val="auto"/>
                <w:sz w:val="21"/>
              </w:rPr>
            </w:pPr>
            <w:r>
              <w:rPr>
                <w:rFonts w:ascii="Times New Roman"/>
                <w:color w:val="auto"/>
                <w:sz w:val="21"/>
              </w:rPr>
              <w:t>3.7.3</w:t>
            </w:r>
          </w:p>
        </w:tc>
        <w:tc>
          <w:tcPr>
            <w:tcW w:w="1759" w:type="dxa"/>
          </w:tcPr>
          <w:p>
            <w:pPr>
              <w:pStyle w:val="45"/>
              <w:rPr>
                <w:rFonts w:ascii="黑体"/>
                <w:color w:val="auto"/>
                <w:sz w:val="20"/>
              </w:rPr>
            </w:pPr>
          </w:p>
          <w:p>
            <w:pPr>
              <w:pStyle w:val="45"/>
              <w:spacing w:before="152" w:line="244" w:lineRule="auto"/>
              <w:ind w:left="568" w:right="136" w:hanging="420"/>
              <w:rPr>
                <w:color w:val="auto"/>
                <w:sz w:val="21"/>
              </w:rPr>
            </w:pPr>
            <w:r>
              <w:rPr>
                <w:color w:val="auto"/>
                <w:sz w:val="21"/>
              </w:rPr>
              <w:t>签字和（或）盖章要求</w:t>
            </w:r>
          </w:p>
        </w:tc>
        <w:tc>
          <w:tcPr>
            <w:tcW w:w="6061" w:type="dxa"/>
          </w:tcPr>
          <w:p>
            <w:pPr>
              <w:pStyle w:val="45"/>
              <w:spacing w:before="1" w:line="242" w:lineRule="auto"/>
              <w:ind w:left="106" w:right="93" w:firstLine="422"/>
              <w:jc w:val="both"/>
              <w:rPr>
                <w:color w:val="auto"/>
                <w:spacing w:val="-3"/>
                <w:sz w:val="21"/>
              </w:rPr>
            </w:pPr>
            <w:r>
              <w:rPr>
                <w:color w:val="auto"/>
                <w:spacing w:val="-3"/>
                <w:sz w:val="21"/>
              </w:rPr>
              <w:t xml:space="preserve">投标文件应当由法定代表人（或其委托代理人）签名（或加盖印章），并加盖投标人的单位公章。投标人加盖的单位公章与其营业执照的单位名称应当一致。 </w:t>
            </w:r>
          </w:p>
          <w:p>
            <w:pPr>
              <w:pStyle w:val="45"/>
              <w:spacing w:before="1" w:line="242" w:lineRule="auto"/>
              <w:ind w:left="106" w:right="93" w:firstLine="422"/>
              <w:jc w:val="both"/>
              <w:rPr>
                <w:color w:val="auto"/>
                <w:spacing w:val="-3"/>
                <w:sz w:val="21"/>
              </w:rPr>
            </w:pPr>
            <w:r>
              <w:rPr>
                <w:color w:val="auto"/>
                <w:spacing w:val="-3"/>
                <w:sz w:val="21"/>
              </w:rPr>
              <w:t xml:space="preserve">投标文件要求由投标人的法定代表人签字（或盖章）并加盖单位公章的，如为联合体投标，除联合体协议和授权委托书按要求签字盖章外，其余则由联合体牵头人的法定代表人签字（或盖章）并加盖联合体牵头人公章。 </w:t>
            </w:r>
          </w:p>
          <w:p>
            <w:pPr>
              <w:pStyle w:val="45"/>
              <w:spacing w:before="1" w:line="242" w:lineRule="auto"/>
              <w:ind w:left="106" w:right="93" w:firstLine="422"/>
              <w:jc w:val="both"/>
              <w:rPr>
                <w:color w:val="auto"/>
                <w:sz w:val="21"/>
              </w:rPr>
            </w:pPr>
            <w:r>
              <w:rPr>
                <w:color w:val="auto"/>
                <w:spacing w:val="-3"/>
                <w:sz w:val="21"/>
              </w:rPr>
              <w:t>可以电子签章的应当采用电子签章。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1058" w:type="dxa"/>
          </w:tcPr>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spacing w:before="8"/>
              <w:rPr>
                <w:rFonts w:ascii="黑体"/>
                <w:color w:val="auto"/>
                <w:sz w:val="29"/>
              </w:rPr>
            </w:pPr>
          </w:p>
          <w:p>
            <w:pPr>
              <w:pStyle w:val="45"/>
              <w:ind w:left="197" w:right="188"/>
              <w:jc w:val="center"/>
              <w:rPr>
                <w:rFonts w:ascii="Times New Roman"/>
                <w:color w:val="auto"/>
                <w:sz w:val="21"/>
              </w:rPr>
            </w:pPr>
            <w:r>
              <w:rPr>
                <w:rFonts w:ascii="Times New Roman"/>
                <w:color w:val="auto"/>
                <w:sz w:val="21"/>
              </w:rPr>
              <w:t>3.7.4</w:t>
            </w:r>
          </w:p>
        </w:tc>
        <w:tc>
          <w:tcPr>
            <w:tcW w:w="1759" w:type="dxa"/>
          </w:tcPr>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spacing w:before="1"/>
              <w:rPr>
                <w:rFonts w:ascii="黑体"/>
                <w:color w:val="auto"/>
                <w:sz w:val="17"/>
              </w:rPr>
            </w:pPr>
          </w:p>
          <w:p>
            <w:pPr>
              <w:pStyle w:val="45"/>
              <w:spacing w:before="1"/>
              <w:ind w:left="9"/>
              <w:jc w:val="center"/>
              <w:rPr>
                <w:color w:val="auto"/>
                <w:sz w:val="21"/>
              </w:rPr>
            </w:pPr>
            <w:r>
              <w:rPr>
                <w:color w:val="auto"/>
                <w:sz w:val="21"/>
              </w:rPr>
              <w:t>投标文件份数</w:t>
            </w:r>
          </w:p>
        </w:tc>
        <w:tc>
          <w:tcPr>
            <w:tcW w:w="6061" w:type="dxa"/>
          </w:tcPr>
          <w:p>
            <w:pPr>
              <w:pStyle w:val="45"/>
              <w:spacing w:before="1" w:line="242" w:lineRule="auto"/>
              <w:ind w:left="106" w:right="93" w:firstLine="422"/>
              <w:jc w:val="both"/>
              <w:rPr>
                <w:color w:val="auto"/>
                <w:spacing w:val="-3"/>
                <w:sz w:val="21"/>
              </w:rPr>
            </w:pPr>
          </w:p>
          <w:p>
            <w:pPr>
              <w:pStyle w:val="45"/>
              <w:spacing w:before="1" w:line="360" w:lineRule="auto"/>
              <w:ind w:left="106" w:right="93" w:firstLine="422"/>
              <w:jc w:val="both"/>
              <w:rPr>
                <w:color w:val="auto"/>
                <w:sz w:val="21"/>
              </w:rPr>
            </w:pPr>
            <w:r>
              <w:rPr>
                <w:color w:val="auto"/>
                <w:spacing w:val="-3"/>
                <w:sz w:val="21"/>
              </w:rPr>
              <w:t>上传YYTF 格式投标文件（中标单位在领取中标通知书之前， 需提供</w:t>
            </w:r>
            <w:r>
              <w:rPr>
                <w:rFonts w:hint="eastAsia"/>
                <w:color w:val="auto"/>
                <w:spacing w:val="-3"/>
                <w:sz w:val="21"/>
              </w:rPr>
              <w:t>五</w:t>
            </w:r>
            <w:r>
              <w:rPr>
                <w:color w:val="auto"/>
                <w:spacing w:val="-3"/>
                <w:sz w:val="21"/>
              </w:rPr>
              <w:t>套完整的纸质投标文件用于备案。当提供的纸质文件资料与岳阳市公共资源交易网记录的电子文件资料不一致时，以电子文件资料为准</w:t>
            </w:r>
          </w:p>
        </w:tc>
      </w:tr>
    </w:tbl>
    <w:p>
      <w:pPr>
        <w:spacing w:line="270" w:lineRule="atLeast"/>
        <w:rPr>
          <w:color w:val="auto"/>
          <w:sz w:val="21"/>
        </w:rPr>
        <w:sectPr>
          <w:pgSz w:w="11910" w:h="16850"/>
          <w:pgMar w:top="1520" w:right="1200" w:bottom="980" w:left="1180" w:header="0" w:footer="800" w:gutter="0"/>
          <w:cols w:space="720" w:num="1"/>
        </w:sectPr>
      </w:pPr>
    </w:p>
    <w:tbl>
      <w:tblPr>
        <w:tblStyle w:val="34"/>
        <w:tblW w:w="8819"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1747"/>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52" w:type="dxa"/>
          </w:tcPr>
          <w:p>
            <w:pPr>
              <w:pStyle w:val="45"/>
              <w:spacing w:before="100"/>
              <w:ind w:left="197" w:right="188"/>
              <w:jc w:val="center"/>
              <w:rPr>
                <w:color w:val="auto"/>
                <w:sz w:val="21"/>
              </w:rPr>
            </w:pPr>
            <w:r>
              <w:rPr>
                <w:color w:val="auto"/>
                <w:sz w:val="21"/>
              </w:rPr>
              <w:t>条款号</w:t>
            </w:r>
          </w:p>
        </w:tc>
        <w:tc>
          <w:tcPr>
            <w:tcW w:w="1747" w:type="dxa"/>
          </w:tcPr>
          <w:p>
            <w:pPr>
              <w:pStyle w:val="45"/>
              <w:spacing w:before="100"/>
              <w:ind w:left="7"/>
              <w:jc w:val="center"/>
              <w:rPr>
                <w:color w:val="auto"/>
                <w:sz w:val="21"/>
              </w:rPr>
            </w:pPr>
            <w:r>
              <w:rPr>
                <w:color w:val="auto"/>
                <w:sz w:val="21"/>
              </w:rPr>
              <w:t>条款名称</w:t>
            </w:r>
          </w:p>
        </w:tc>
        <w:tc>
          <w:tcPr>
            <w:tcW w:w="6020" w:type="dxa"/>
          </w:tcPr>
          <w:p>
            <w:pPr>
              <w:pStyle w:val="45"/>
              <w:spacing w:before="100"/>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1052" w:type="dxa"/>
          </w:tcPr>
          <w:p>
            <w:pPr>
              <w:pStyle w:val="45"/>
              <w:rPr>
                <w:rFonts w:ascii="黑体"/>
                <w:color w:val="auto"/>
              </w:rPr>
            </w:pPr>
          </w:p>
          <w:p>
            <w:pPr>
              <w:pStyle w:val="45"/>
              <w:rPr>
                <w:rFonts w:ascii="黑体"/>
                <w:color w:val="auto"/>
              </w:rPr>
            </w:pPr>
          </w:p>
          <w:p>
            <w:pPr>
              <w:pStyle w:val="45"/>
              <w:spacing w:before="10"/>
              <w:rPr>
                <w:rFonts w:ascii="黑体"/>
                <w:color w:val="auto"/>
                <w:sz w:val="29"/>
              </w:rPr>
            </w:pPr>
          </w:p>
          <w:p>
            <w:pPr>
              <w:pStyle w:val="45"/>
              <w:spacing w:before="1"/>
              <w:ind w:left="197" w:right="188"/>
              <w:jc w:val="center"/>
              <w:rPr>
                <w:rFonts w:ascii="Times New Roman"/>
                <w:color w:val="auto"/>
                <w:sz w:val="21"/>
              </w:rPr>
            </w:pPr>
            <w:r>
              <w:rPr>
                <w:rFonts w:ascii="Times New Roman"/>
                <w:color w:val="auto"/>
                <w:sz w:val="21"/>
              </w:rPr>
              <w:t>3.7.5</w:t>
            </w:r>
          </w:p>
        </w:tc>
        <w:tc>
          <w:tcPr>
            <w:tcW w:w="1747" w:type="dxa"/>
          </w:tcPr>
          <w:p>
            <w:pPr>
              <w:pStyle w:val="45"/>
              <w:rPr>
                <w:rFonts w:ascii="黑体"/>
                <w:color w:val="auto"/>
                <w:sz w:val="20"/>
              </w:rPr>
            </w:pPr>
          </w:p>
          <w:p>
            <w:pPr>
              <w:pStyle w:val="45"/>
              <w:rPr>
                <w:rFonts w:ascii="黑体"/>
                <w:color w:val="auto"/>
                <w:sz w:val="20"/>
              </w:rPr>
            </w:pPr>
          </w:p>
          <w:p>
            <w:pPr>
              <w:pStyle w:val="45"/>
              <w:spacing w:before="8"/>
              <w:rPr>
                <w:rFonts w:ascii="黑体"/>
                <w:color w:val="auto"/>
              </w:rPr>
            </w:pPr>
          </w:p>
          <w:p>
            <w:pPr>
              <w:pStyle w:val="45"/>
              <w:spacing w:line="242" w:lineRule="auto"/>
              <w:ind w:left="148" w:right="136"/>
              <w:rPr>
                <w:color w:val="auto"/>
                <w:sz w:val="21"/>
              </w:rPr>
            </w:pPr>
            <w:r>
              <w:rPr>
                <w:color w:val="auto"/>
                <w:sz w:val="21"/>
              </w:rPr>
              <w:t>装订要求</w:t>
            </w:r>
          </w:p>
        </w:tc>
        <w:tc>
          <w:tcPr>
            <w:tcW w:w="6020" w:type="dxa"/>
            <w:vAlign w:val="center"/>
          </w:tcPr>
          <w:p>
            <w:pPr>
              <w:pStyle w:val="45"/>
              <w:spacing w:line="359" w:lineRule="exact"/>
              <w:ind w:left="646"/>
              <w:jc w:val="both"/>
              <w:rPr>
                <w:rFonts w:ascii="Times New Roman" w:hAnsi="Times New Roman" w:eastAsia="Times New Roman"/>
                <w:color w:val="auto"/>
                <w:sz w:val="32"/>
              </w:rPr>
            </w:pPr>
          </w:p>
          <w:p>
            <w:pPr>
              <w:pStyle w:val="45"/>
              <w:spacing w:before="3" w:line="250" w:lineRule="exact"/>
              <w:ind w:left="3"/>
              <w:jc w:val="both"/>
              <w:rPr>
                <w:rFonts w:hint="default" w:eastAsia="宋体"/>
                <w:color w:val="auto"/>
                <w:sz w:val="21"/>
                <w:lang w:val="en-US" w:eastAsia="zh-CN"/>
              </w:rPr>
            </w:pPr>
            <w:r>
              <w:rPr>
                <w:rFonts w:hint="eastAsia"/>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52" w:type="dxa"/>
          </w:tcPr>
          <w:p>
            <w:pPr>
              <w:pStyle w:val="45"/>
              <w:spacing w:before="3"/>
              <w:rPr>
                <w:rFonts w:ascii="黑体"/>
                <w:color w:val="auto"/>
                <w:sz w:val="17"/>
              </w:rPr>
            </w:pPr>
          </w:p>
          <w:p>
            <w:pPr>
              <w:pStyle w:val="45"/>
              <w:spacing w:before="1"/>
              <w:ind w:left="197" w:right="188"/>
              <w:jc w:val="center"/>
              <w:rPr>
                <w:rFonts w:ascii="Times New Roman"/>
                <w:color w:val="auto"/>
                <w:sz w:val="21"/>
              </w:rPr>
            </w:pPr>
            <w:r>
              <w:rPr>
                <w:rFonts w:ascii="Times New Roman"/>
                <w:color w:val="auto"/>
                <w:sz w:val="21"/>
              </w:rPr>
              <w:t>4.1.1</w:t>
            </w:r>
          </w:p>
        </w:tc>
        <w:tc>
          <w:tcPr>
            <w:tcW w:w="1747" w:type="dxa"/>
          </w:tcPr>
          <w:p>
            <w:pPr>
              <w:pStyle w:val="45"/>
              <w:spacing w:before="75" w:line="244" w:lineRule="auto"/>
              <w:ind w:left="673" w:right="244" w:hanging="423"/>
              <w:rPr>
                <w:color w:val="auto"/>
                <w:sz w:val="21"/>
              </w:rPr>
            </w:pPr>
            <w:r>
              <w:rPr>
                <w:color w:val="auto"/>
                <w:sz w:val="21"/>
              </w:rPr>
              <w:t>投标文件加密要求</w:t>
            </w:r>
          </w:p>
        </w:tc>
        <w:tc>
          <w:tcPr>
            <w:tcW w:w="6020" w:type="dxa"/>
          </w:tcPr>
          <w:p>
            <w:pPr>
              <w:pStyle w:val="45"/>
              <w:spacing w:before="7"/>
              <w:rPr>
                <w:rFonts w:ascii="黑体"/>
                <w:color w:val="auto"/>
                <w:sz w:val="16"/>
              </w:rPr>
            </w:pPr>
          </w:p>
          <w:p>
            <w:pPr>
              <w:pStyle w:val="45"/>
              <w:ind w:left="361" w:right="132"/>
              <w:jc w:val="center"/>
              <w:rPr>
                <w:color w:val="auto"/>
                <w:sz w:val="21"/>
              </w:rPr>
            </w:pPr>
            <w:r>
              <w:rPr>
                <w:color w:val="auto"/>
                <w:sz w:val="21"/>
              </w:rPr>
              <w:t>具体以岳阳市公共资源交易中心电子招标投标相关规定为准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1052" w:type="dxa"/>
          </w:tcPr>
          <w:p>
            <w:pPr>
              <w:pStyle w:val="45"/>
              <w:spacing w:before="8"/>
              <w:rPr>
                <w:rFonts w:ascii="黑体"/>
                <w:color w:val="auto"/>
                <w:sz w:val="32"/>
              </w:rPr>
            </w:pPr>
          </w:p>
          <w:p>
            <w:pPr>
              <w:pStyle w:val="45"/>
              <w:ind w:left="197" w:right="188"/>
              <w:jc w:val="center"/>
              <w:rPr>
                <w:rFonts w:ascii="Times New Roman"/>
                <w:color w:val="auto"/>
                <w:sz w:val="21"/>
              </w:rPr>
            </w:pPr>
            <w:r>
              <w:rPr>
                <w:rFonts w:ascii="Times New Roman"/>
                <w:color w:val="auto"/>
                <w:sz w:val="21"/>
              </w:rPr>
              <w:t>4.1.2</w:t>
            </w:r>
          </w:p>
        </w:tc>
        <w:tc>
          <w:tcPr>
            <w:tcW w:w="1747" w:type="dxa"/>
          </w:tcPr>
          <w:p>
            <w:pPr>
              <w:pStyle w:val="45"/>
              <w:spacing w:before="138" w:line="242" w:lineRule="auto"/>
              <w:ind w:left="148" w:right="136"/>
              <w:jc w:val="center"/>
              <w:rPr>
                <w:color w:val="auto"/>
                <w:sz w:val="21"/>
              </w:rPr>
            </w:pPr>
            <w:r>
              <w:rPr>
                <w:color w:val="auto"/>
                <w:sz w:val="21"/>
              </w:rPr>
              <w:t>封套上应载明的信息（纸质投标文件）</w:t>
            </w:r>
          </w:p>
        </w:tc>
        <w:tc>
          <w:tcPr>
            <w:tcW w:w="6020" w:type="dxa"/>
            <w:vAlign w:val="center"/>
          </w:tcPr>
          <w:p>
            <w:pPr>
              <w:pStyle w:val="45"/>
              <w:tabs>
                <w:tab w:val="left" w:pos="1791"/>
              </w:tabs>
              <w:spacing w:before="1" w:line="250" w:lineRule="exact"/>
              <w:ind w:left="425"/>
              <w:jc w:val="both"/>
              <w:rPr>
                <w:rFonts w:hint="eastAsia" w:eastAsia="宋体"/>
                <w:color w:val="auto"/>
                <w:sz w:val="21"/>
                <w:lang w:eastAsia="zh-CN"/>
              </w:rPr>
            </w:pPr>
            <w:r>
              <w:rPr>
                <w:rFonts w:hint="eastAsia"/>
                <w:color w:val="auto"/>
                <w:spacing w:val="-1"/>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052" w:type="dxa"/>
          </w:tcPr>
          <w:p>
            <w:pPr>
              <w:pStyle w:val="45"/>
              <w:spacing w:before="5"/>
              <w:rPr>
                <w:rFonts w:ascii="黑体"/>
                <w:color w:val="auto"/>
                <w:sz w:val="23"/>
              </w:rPr>
            </w:pPr>
          </w:p>
          <w:p>
            <w:pPr>
              <w:pStyle w:val="45"/>
              <w:spacing w:before="1"/>
              <w:ind w:left="197" w:right="188"/>
              <w:jc w:val="center"/>
              <w:rPr>
                <w:rFonts w:ascii="Times New Roman"/>
                <w:color w:val="auto"/>
                <w:sz w:val="21"/>
              </w:rPr>
            </w:pPr>
            <w:r>
              <w:rPr>
                <w:rFonts w:ascii="Times New Roman"/>
                <w:color w:val="auto"/>
                <w:sz w:val="21"/>
              </w:rPr>
              <w:t>4.2.2</w:t>
            </w:r>
          </w:p>
        </w:tc>
        <w:tc>
          <w:tcPr>
            <w:tcW w:w="1747" w:type="dxa"/>
          </w:tcPr>
          <w:p>
            <w:pPr>
              <w:pStyle w:val="45"/>
              <w:spacing w:before="157" w:line="242" w:lineRule="auto"/>
              <w:ind w:left="673" w:right="241" w:hanging="420"/>
              <w:rPr>
                <w:color w:val="auto"/>
                <w:sz w:val="21"/>
              </w:rPr>
            </w:pPr>
            <w:r>
              <w:rPr>
                <w:color w:val="auto"/>
                <w:sz w:val="21"/>
              </w:rPr>
              <w:t>递交投标文件地点</w:t>
            </w:r>
          </w:p>
        </w:tc>
        <w:tc>
          <w:tcPr>
            <w:tcW w:w="6020" w:type="dxa"/>
          </w:tcPr>
          <w:p>
            <w:pPr>
              <w:pStyle w:val="45"/>
              <w:spacing w:before="11"/>
              <w:ind w:left="646"/>
              <w:rPr>
                <w:rFonts w:hint="eastAsia" w:eastAsia="宋体"/>
                <w:color w:val="auto"/>
                <w:sz w:val="21"/>
                <w:lang w:eastAsia="zh-CN"/>
              </w:rPr>
            </w:pPr>
            <w:r>
              <w:rPr>
                <w:rFonts w:hint="eastAsia" w:ascii="MS Gothic" w:hAnsi="MS Gothic"/>
                <w:color w:val="auto"/>
                <w:sz w:val="32"/>
                <w:lang w:eastAsia="zh-CN"/>
              </w:rPr>
              <w:t>□</w:t>
            </w:r>
            <w:r>
              <w:rPr>
                <w:color w:val="auto"/>
                <w:sz w:val="21"/>
              </w:rPr>
              <w:t xml:space="preserve">纸质投标文件递交至 </w:t>
            </w:r>
            <w:r>
              <w:rPr>
                <w:rFonts w:hint="eastAsia"/>
                <w:color w:val="auto"/>
                <w:sz w:val="21"/>
                <w:u w:val="single"/>
                <w:lang w:val="en-US" w:eastAsia="zh-CN"/>
              </w:rPr>
              <w:t>/</w:t>
            </w:r>
          </w:p>
          <w:p>
            <w:pPr>
              <w:pStyle w:val="45"/>
              <w:spacing w:before="5" w:line="408" w:lineRule="exact"/>
              <w:ind w:left="646"/>
              <w:rPr>
                <w:color w:val="auto"/>
                <w:sz w:val="21"/>
              </w:rPr>
            </w:pPr>
            <w:r>
              <w:rPr>
                <w:rFonts w:hint="eastAsia" w:ascii="MS Gothic" w:hAnsi="MS Gothic"/>
                <w:color w:val="auto"/>
                <w:sz w:val="32"/>
                <w:lang w:eastAsia="zh-CN"/>
              </w:rPr>
              <w:t>☑</w:t>
            </w:r>
            <w:r>
              <w:rPr>
                <w:color w:val="auto"/>
                <w:sz w:val="21"/>
              </w:rPr>
              <w:t>电子投标文件递交至</w:t>
            </w:r>
            <w:r>
              <w:rPr>
                <w:color w:val="auto"/>
                <w:sz w:val="21"/>
                <w:u w:val="single"/>
              </w:rPr>
              <w:t xml:space="preserve"> 岳阳市公共资源交易中心平台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52" w:type="dxa"/>
          </w:tcPr>
          <w:p>
            <w:pPr>
              <w:pStyle w:val="45"/>
              <w:spacing w:before="8"/>
              <w:rPr>
                <w:rFonts w:ascii="黑体"/>
                <w:color w:val="auto"/>
                <w:sz w:val="20"/>
              </w:rPr>
            </w:pPr>
          </w:p>
          <w:p>
            <w:pPr>
              <w:pStyle w:val="45"/>
              <w:ind w:left="197" w:right="188"/>
              <w:jc w:val="center"/>
              <w:rPr>
                <w:rFonts w:ascii="Times New Roman"/>
                <w:color w:val="auto"/>
                <w:sz w:val="21"/>
              </w:rPr>
            </w:pPr>
            <w:r>
              <w:rPr>
                <w:rFonts w:ascii="Times New Roman"/>
                <w:color w:val="auto"/>
                <w:sz w:val="21"/>
              </w:rPr>
              <w:t>4.2.3</w:t>
            </w:r>
          </w:p>
        </w:tc>
        <w:tc>
          <w:tcPr>
            <w:tcW w:w="1747" w:type="dxa"/>
          </w:tcPr>
          <w:p>
            <w:pPr>
              <w:pStyle w:val="45"/>
              <w:spacing w:before="118" w:line="244" w:lineRule="auto"/>
              <w:ind w:left="673" w:right="241" w:hanging="420"/>
              <w:rPr>
                <w:color w:val="auto"/>
                <w:sz w:val="21"/>
              </w:rPr>
            </w:pPr>
            <w:r>
              <w:rPr>
                <w:color w:val="auto"/>
                <w:sz w:val="21"/>
              </w:rPr>
              <w:t>是否退还投标文件</w:t>
            </w:r>
          </w:p>
        </w:tc>
        <w:tc>
          <w:tcPr>
            <w:tcW w:w="6020" w:type="dxa"/>
          </w:tcPr>
          <w:p>
            <w:pPr>
              <w:pStyle w:val="45"/>
              <w:spacing w:line="408" w:lineRule="exact"/>
              <w:ind w:left="646"/>
              <w:rPr>
                <w:color w:val="auto"/>
                <w:sz w:val="21"/>
              </w:rPr>
            </w:pPr>
            <w:r>
              <w:rPr>
                <w:rFonts w:hint="eastAsia" w:ascii="MS Gothic" w:hAnsi="MS Gothic" w:eastAsia="MS Gothic"/>
                <w:color w:val="auto"/>
                <w:sz w:val="32"/>
              </w:rPr>
              <w:t>☑</w:t>
            </w:r>
            <w:r>
              <w:rPr>
                <w:color w:val="auto"/>
                <w:sz w:val="21"/>
              </w:rPr>
              <w:t>否</w:t>
            </w:r>
          </w:p>
          <w:p>
            <w:pPr>
              <w:pStyle w:val="45"/>
              <w:spacing w:line="354" w:lineRule="exact"/>
              <w:ind w:left="646"/>
              <w:rPr>
                <w:color w:val="auto"/>
                <w:sz w:val="21"/>
              </w:rPr>
            </w:pPr>
            <w:r>
              <w:rPr>
                <w:rFonts w:ascii="Times New Roman" w:hAnsi="Times New Roman" w:eastAsia="Times New Roman"/>
                <w:color w:val="auto"/>
                <w:sz w:val="32"/>
              </w:rPr>
              <w:t>□</w:t>
            </w:r>
            <w:r>
              <w:rPr>
                <w:color w:val="auto"/>
                <w:sz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52" w:type="dxa"/>
          </w:tcPr>
          <w:p>
            <w:pPr>
              <w:pStyle w:val="45"/>
              <w:rPr>
                <w:rFonts w:ascii="黑体"/>
                <w:color w:val="auto"/>
                <w:sz w:val="27"/>
              </w:rPr>
            </w:pPr>
          </w:p>
          <w:p>
            <w:pPr>
              <w:pStyle w:val="45"/>
              <w:spacing w:before="1"/>
              <w:ind w:left="197" w:right="188"/>
              <w:jc w:val="center"/>
              <w:rPr>
                <w:rFonts w:ascii="Times New Roman"/>
                <w:color w:val="auto"/>
                <w:sz w:val="21"/>
              </w:rPr>
            </w:pPr>
            <w:r>
              <w:rPr>
                <w:rFonts w:ascii="Times New Roman"/>
                <w:color w:val="auto"/>
                <w:sz w:val="21"/>
              </w:rPr>
              <w:t>5.1</w:t>
            </w:r>
          </w:p>
        </w:tc>
        <w:tc>
          <w:tcPr>
            <w:tcW w:w="1747" w:type="dxa"/>
          </w:tcPr>
          <w:p>
            <w:pPr>
              <w:pStyle w:val="45"/>
              <w:spacing w:before="4"/>
              <w:rPr>
                <w:rFonts w:ascii="黑体"/>
                <w:color w:val="auto"/>
                <w:sz w:val="26"/>
              </w:rPr>
            </w:pPr>
          </w:p>
          <w:p>
            <w:pPr>
              <w:pStyle w:val="45"/>
              <w:ind w:left="9"/>
              <w:jc w:val="center"/>
              <w:rPr>
                <w:color w:val="auto"/>
                <w:sz w:val="21"/>
              </w:rPr>
            </w:pPr>
            <w:r>
              <w:rPr>
                <w:color w:val="auto"/>
                <w:sz w:val="21"/>
              </w:rPr>
              <w:t>开标时间和地点</w:t>
            </w:r>
          </w:p>
        </w:tc>
        <w:tc>
          <w:tcPr>
            <w:tcW w:w="6020" w:type="dxa"/>
          </w:tcPr>
          <w:p>
            <w:pPr>
              <w:pStyle w:val="45"/>
              <w:spacing w:before="8"/>
              <w:rPr>
                <w:rFonts w:ascii="黑体"/>
                <w:color w:val="auto"/>
                <w:sz w:val="15"/>
              </w:rPr>
            </w:pPr>
          </w:p>
          <w:p>
            <w:pPr>
              <w:pStyle w:val="45"/>
              <w:ind w:left="425"/>
              <w:rPr>
                <w:color w:val="auto"/>
                <w:sz w:val="21"/>
              </w:rPr>
            </w:pPr>
            <w:r>
              <w:rPr>
                <w:color w:val="auto"/>
                <w:sz w:val="21"/>
              </w:rPr>
              <w:t>开标时间：同投标截止时间，</w:t>
            </w:r>
          </w:p>
          <w:p>
            <w:pPr>
              <w:pStyle w:val="45"/>
              <w:spacing w:before="5"/>
              <w:ind w:left="425"/>
              <w:rPr>
                <w:color w:val="auto"/>
                <w:sz w:val="21"/>
              </w:rPr>
            </w:pPr>
            <w:r>
              <w:rPr>
                <w:color w:val="auto"/>
                <w:sz w:val="21"/>
              </w:rPr>
              <w:t>开标地点：</w:t>
            </w:r>
            <w:r>
              <w:rPr>
                <w:color w:val="auto"/>
                <w:sz w:val="21"/>
                <w:u w:val="single"/>
              </w:rPr>
              <w:t xml:space="preserve"> 岳阳市公共资源交易中心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052" w:type="dxa"/>
          </w:tcPr>
          <w:p>
            <w:pPr>
              <w:pStyle w:val="45"/>
              <w:spacing w:before="187"/>
              <w:ind w:left="197" w:right="188"/>
              <w:jc w:val="center"/>
              <w:rPr>
                <w:rFonts w:ascii="Times New Roman"/>
                <w:color w:val="auto"/>
                <w:sz w:val="21"/>
              </w:rPr>
            </w:pPr>
            <w:r>
              <w:rPr>
                <w:rFonts w:ascii="Times New Roman"/>
                <w:color w:val="auto"/>
                <w:sz w:val="21"/>
              </w:rPr>
              <w:t>5.2</w:t>
            </w:r>
          </w:p>
        </w:tc>
        <w:tc>
          <w:tcPr>
            <w:tcW w:w="1747" w:type="dxa"/>
          </w:tcPr>
          <w:p>
            <w:pPr>
              <w:pStyle w:val="45"/>
              <w:spacing w:before="178"/>
              <w:ind w:left="9"/>
              <w:jc w:val="center"/>
              <w:rPr>
                <w:color w:val="auto"/>
                <w:sz w:val="21"/>
              </w:rPr>
            </w:pPr>
            <w:r>
              <w:rPr>
                <w:color w:val="auto"/>
                <w:sz w:val="21"/>
              </w:rPr>
              <w:t>密封情况检查</w:t>
            </w:r>
          </w:p>
        </w:tc>
        <w:tc>
          <w:tcPr>
            <w:tcW w:w="6020" w:type="dxa"/>
            <w:vAlign w:val="center"/>
          </w:tcPr>
          <w:p>
            <w:pPr>
              <w:pStyle w:val="45"/>
              <w:spacing w:before="42" w:line="244" w:lineRule="auto"/>
              <w:ind w:left="3" w:right="95" w:firstLine="422"/>
              <w:jc w:val="both"/>
              <w:rPr>
                <w:rFonts w:hint="eastAsia" w:eastAsia="宋体"/>
                <w:color w:val="auto"/>
                <w:sz w:val="21"/>
                <w:lang w:eastAsia="zh-CN"/>
              </w:rPr>
            </w:pPr>
            <w:r>
              <w:rPr>
                <w:rFonts w:hint="eastAsia"/>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052" w:type="dxa"/>
          </w:tcPr>
          <w:p>
            <w:pPr>
              <w:pStyle w:val="45"/>
              <w:spacing w:before="187"/>
              <w:ind w:left="197" w:right="188"/>
              <w:jc w:val="center"/>
              <w:rPr>
                <w:rFonts w:ascii="Times New Roman"/>
                <w:color w:val="auto"/>
                <w:sz w:val="21"/>
                <w:lang w:val="en-US"/>
              </w:rPr>
            </w:pPr>
            <w:r>
              <w:rPr>
                <w:rFonts w:hint="eastAsia" w:ascii="Times New Roman"/>
                <w:color w:val="auto"/>
                <w:sz w:val="21"/>
                <w:lang w:val="en-US"/>
              </w:rPr>
              <w:t>5.2.1</w:t>
            </w:r>
          </w:p>
        </w:tc>
        <w:tc>
          <w:tcPr>
            <w:tcW w:w="1747" w:type="dxa"/>
          </w:tcPr>
          <w:p>
            <w:pPr>
              <w:pStyle w:val="45"/>
              <w:spacing w:before="178"/>
              <w:ind w:left="9"/>
              <w:jc w:val="center"/>
              <w:rPr>
                <w:color w:val="auto"/>
                <w:sz w:val="21"/>
              </w:rPr>
            </w:pPr>
            <w:r>
              <w:rPr>
                <w:rFonts w:hint="eastAsia"/>
                <w:color w:val="auto"/>
                <w:sz w:val="21"/>
                <w:lang w:val="en-US"/>
              </w:rPr>
              <w:t xml:space="preserve">投标文件的解密 </w:t>
            </w:r>
          </w:p>
        </w:tc>
        <w:tc>
          <w:tcPr>
            <w:tcW w:w="6020" w:type="dxa"/>
          </w:tcPr>
          <w:p>
            <w:pPr>
              <w:pStyle w:val="45"/>
              <w:spacing w:before="42" w:line="244" w:lineRule="auto"/>
              <w:ind w:left="3" w:right="95" w:firstLine="422"/>
              <w:rPr>
                <w:color w:val="auto"/>
                <w:sz w:val="21"/>
              </w:rPr>
            </w:pPr>
            <w:r>
              <w:rPr>
                <w:rFonts w:hint="eastAsia"/>
                <w:color w:val="auto"/>
                <w:sz w:val="21"/>
                <w:lang w:val="en-US"/>
              </w:rPr>
              <w:t xml:space="preserve">投标人使用 CA 数字证书解密，从投标截止时间起30分钟内完成，投标 文件在解密时限内未解密或解密失败，视为撤销其投标文件，开标继续 进行。（如在开标现场解密的请自备解密电脑）。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52" w:type="dxa"/>
          </w:tcPr>
          <w:p>
            <w:pPr>
              <w:pStyle w:val="45"/>
              <w:spacing w:before="6"/>
              <w:rPr>
                <w:rFonts w:ascii="黑体"/>
                <w:color w:val="auto"/>
                <w:sz w:val="28"/>
              </w:rPr>
            </w:pPr>
          </w:p>
          <w:p>
            <w:pPr>
              <w:pStyle w:val="45"/>
              <w:ind w:left="197" w:right="188"/>
              <w:jc w:val="center"/>
              <w:rPr>
                <w:rFonts w:ascii="Times New Roman"/>
                <w:color w:val="auto"/>
                <w:sz w:val="21"/>
                <w:lang w:val="en-US"/>
              </w:rPr>
            </w:pPr>
            <w:r>
              <w:rPr>
                <w:rFonts w:ascii="Times New Roman"/>
                <w:color w:val="auto"/>
                <w:sz w:val="21"/>
              </w:rPr>
              <w:t>6.1.1</w:t>
            </w:r>
          </w:p>
        </w:tc>
        <w:tc>
          <w:tcPr>
            <w:tcW w:w="1747" w:type="dxa"/>
          </w:tcPr>
          <w:p>
            <w:pPr>
              <w:pStyle w:val="45"/>
              <w:spacing w:before="3"/>
              <w:rPr>
                <w:rFonts w:ascii="黑体"/>
                <w:color w:val="auto"/>
                <w:sz w:val="17"/>
              </w:rPr>
            </w:pPr>
          </w:p>
          <w:p>
            <w:pPr>
              <w:pStyle w:val="45"/>
              <w:spacing w:before="1" w:line="242" w:lineRule="auto"/>
              <w:ind w:left="673" w:right="244" w:hanging="423"/>
              <w:rPr>
                <w:color w:val="auto"/>
                <w:sz w:val="21"/>
              </w:rPr>
            </w:pPr>
            <w:r>
              <w:rPr>
                <w:color w:val="auto"/>
                <w:sz w:val="21"/>
              </w:rPr>
              <w:t>评标委员会的组建</w:t>
            </w:r>
          </w:p>
        </w:tc>
        <w:tc>
          <w:tcPr>
            <w:tcW w:w="6020" w:type="dxa"/>
          </w:tcPr>
          <w:p>
            <w:pPr>
              <w:pStyle w:val="45"/>
              <w:spacing w:before="166" w:line="290" w:lineRule="auto"/>
              <w:ind w:left="526" w:right="724"/>
              <w:rPr>
                <w:color w:val="auto"/>
                <w:sz w:val="21"/>
              </w:rPr>
            </w:pPr>
            <w:r>
              <w:rPr>
                <w:color w:val="auto"/>
                <w:sz w:val="21"/>
              </w:rPr>
              <w:t xml:space="preserve">评标委员会成员 </w:t>
            </w:r>
            <w:r>
              <w:rPr>
                <w:rFonts w:ascii="Times New Roman" w:eastAsia="Times New Roman"/>
                <w:color w:val="auto"/>
                <w:sz w:val="21"/>
                <w:u w:val="single"/>
              </w:rPr>
              <w:t xml:space="preserve">7 </w:t>
            </w:r>
            <w:r>
              <w:rPr>
                <w:color w:val="auto"/>
                <w:sz w:val="21"/>
              </w:rPr>
              <w:t>人，其中：招标人代表</w:t>
            </w:r>
            <w:r>
              <w:rPr>
                <w:color w:val="auto"/>
                <w:sz w:val="21"/>
                <w:u w:val="single"/>
              </w:rPr>
              <w:t xml:space="preserve">  </w:t>
            </w:r>
            <w:r>
              <w:rPr>
                <w:rFonts w:ascii="Times New Roman" w:eastAsia="Times New Roman"/>
                <w:color w:val="auto"/>
                <w:sz w:val="21"/>
                <w:u w:val="single"/>
              </w:rPr>
              <w:t xml:space="preserve">/  </w:t>
            </w:r>
            <w:r>
              <w:rPr>
                <w:color w:val="auto"/>
                <w:sz w:val="21"/>
              </w:rPr>
              <w:t>人。评标专家确定方式：从政府评标专家库中随机抽</w:t>
            </w:r>
          </w:p>
          <w:p>
            <w:pPr>
              <w:pStyle w:val="45"/>
              <w:spacing w:before="166" w:line="290" w:lineRule="auto"/>
              <w:ind w:right="724"/>
              <w:rPr>
                <w:color w:val="auto"/>
                <w:sz w:val="21"/>
              </w:rPr>
            </w:pPr>
            <w:r>
              <w:rPr>
                <w:color w:val="auto"/>
                <w:sz w:val="21"/>
              </w:rPr>
              <w:t>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1052" w:type="dxa"/>
          </w:tcPr>
          <w:p>
            <w:pPr>
              <w:pStyle w:val="45"/>
              <w:rPr>
                <w:rFonts w:ascii="黑体"/>
                <w:color w:val="auto"/>
              </w:rPr>
            </w:pPr>
          </w:p>
          <w:p>
            <w:pPr>
              <w:pStyle w:val="45"/>
              <w:rPr>
                <w:rFonts w:ascii="黑体"/>
                <w:color w:val="auto"/>
                <w:sz w:val="20"/>
              </w:rPr>
            </w:pPr>
          </w:p>
          <w:p>
            <w:pPr>
              <w:pStyle w:val="45"/>
              <w:ind w:left="197" w:right="188"/>
              <w:jc w:val="center"/>
              <w:rPr>
                <w:rFonts w:ascii="Times New Roman"/>
                <w:color w:val="auto"/>
                <w:sz w:val="21"/>
              </w:rPr>
            </w:pPr>
            <w:r>
              <w:rPr>
                <w:rFonts w:ascii="Times New Roman"/>
                <w:color w:val="auto"/>
                <w:sz w:val="21"/>
              </w:rPr>
              <w:t>7.1</w:t>
            </w:r>
          </w:p>
        </w:tc>
        <w:tc>
          <w:tcPr>
            <w:tcW w:w="1747" w:type="dxa"/>
          </w:tcPr>
          <w:p>
            <w:pPr>
              <w:pStyle w:val="45"/>
              <w:spacing w:before="1"/>
              <w:rPr>
                <w:rFonts w:ascii="黑体"/>
                <w:color w:val="auto"/>
                <w:sz w:val="20"/>
              </w:rPr>
            </w:pPr>
          </w:p>
          <w:p>
            <w:pPr>
              <w:pStyle w:val="45"/>
              <w:spacing w:line="242" w:lineRule="auto"/>
              <w:ind w:left="148" w:right="136"/>
              <w:jc w:val="center"/>
              <w:rPr>
                <w:color w:val="auto"/>
                <w:sz w:val="21"/>
              </w:rPr>
            </w:pPr>
            <w:r>
              <w:rPr>
                <w:color w:val="auto"/>
                <w:spacing w:val="-5"/>
                <w:sz w:val="21"/>
              </w:rPr>
              <w:t>推荐中标候选人</w:t>
            </w:r>
            <w:r>
              <w:rPr>
                <w:color w:val="auto"/>
                <w:spacing w:val="-2"/>
                <w:sz w:val="21"/>
              </w:rPr>
              <w:t>和确定中标人 方式</w:t>
            </w:r>
          </w:p>
        </w:tc>
        <w:tc>
          <w:tcPr>
            <w:tcW w:w="6020" w:type="dxa"/>
          </w:tcPr>
          <w:p>
            <w:pPr>
              <w:pStyle w:val="45"/>
              <w:spacing w:before="1" w:line="242" w:lineRule="auto"/>
              <w:ind w:left="3" w:right="21" w:firstLine="643"/>
              <w:rPr>
                <w:color w:val="auto"/>
                <w:sz w:val="21"/>
              </w:rPr>
            </w:pPr>
            <w:r>
              <w:rPr>
                <w:rFonts w:hint="eastAsia" w:ascii="MS Gothic" w:hAnsi="MS Gothic" w:eastAsia="MS Gothic"/>
                <w:color w:val="auto"/>
                <w:sz w:val="32"/>
              </w:rPr>
              <w:t>☑</w:t>
            </w:r>
            <w:r>
              <w:rPr>
                <w:color w:val="auto"/>
                <w:sz w:val="21"/>
              </w:rPr>
              <w:t xml:space="preserve">排序法，即：由评标委员会推荐不超过 </w:t>
            </w:r>
            <w:r>
              <w:rPr>
                <w:rFonts w:ascii="Times New Roman" w:hAnsi="Times New Roman" w:eastAsia="Times New Roman"/>
                <w:color w:val="auto"/>
                <w:sz w:val="21"/>
              </w:rPr>
              <w:t xml:space="preserve">3 </w:t>
            </w:r>
            <w:r>
              <w:rPr>
                <w:color w:val="auto"/>
                <w:sz w:val="21"/>
              </w:rPr>
              <w:t>个有排序的中标候选人，公示期满后招标人按照相关规定确定中标人。</w:t>
            </w:r>
          </w:p>
          <w:p>
            <w:pPr>
              <w:pStyle w:val="45"/>
              <w:spacing w:line="361" w:lineRule="exact"/>
              <w:ind w:left="646"/>
              <w:rPr>
                <w:color w:val="auto"/>
                <w:sz w:val="21"/>
              </w:rPr>
            </w:pPr>
            <w:r>
              <w:rPr>
                <w:rFonts w:ascii="Times New Roman" w:hAnsi="Times New Roman" w:eastAsia="Times New Roman"/>
                <w:color w:val="auto"/>
                <w:sz w:val="32"/>
              </w:rPr>
              <w:t>□</w:t>
            </w:r>
            <w:r>
              <w:rPr>
                <w:color w:val="auto"/>
                <w:spacing w:val="-15"/>
                <w:sz w:val="21"/>
              </w:rPr>
              <w:t xml:space="preserve">评定分离法，即：由评标委员会推荐 </w:t>
            </w:r>
            <w:r>
              <w:rPr>
                <w:rFonts w:ascii="Times New Roman" w:hAnsi="Times New Roman" w:eastAsia="Times New Roman"/>
                <w:color w:val="auto"/>
                <w:sz w:val="21"/>
              </w:rPr>
              <w:t xml:space="preserve">3 </w:t>
            </w:r>
            <w:r>
              <w:rPr>
                <w:color w:val="auto"/>
                <w:spacing w:val="-3"/>
                <w:sz w:val="21"/>
              </w:rPr>
              <w:t>个不排序的中标候</w:t>
            </w:r>
          </w:p>
          <w:p>
            <w:pPr>
              <w:pStyle w:val="45"/>
              <w:spacing w:line="359" w:lineRule="exact"/>
              <w:ind w:left="646"/>
              <w:rPr>
                <w:color w:val="auto"/>
                <w:sz w:val="21"/>
              </w:rPr>
            </w:pPr>
            <w:r>
              <w:rPr>
                <w:color w:val="auto"/>
                <w:sz w:val="21"/>
              </w:rPr>
              <w:t>选人，招标人按下列方式确定中标人：</w:t>
            </w:r>
          </w:p>
          <w:p>
            <w:pPr>
              <w:pStyle w:val="45"/>
              <w:spacing w:line="359" w:lineRule="exact"/>
              <w:ind w:left="646"/>
              <w:rPr>
                <w:color w:val="auto"/>
                <w:sz w:val="21"/>
              </w:rPr>
            </w:pPr>
            <w:r>
              <w:rPr>
                <w:rFonts w:ascii="Times New Roman" w:hAnsi="Times New Roman" w:eastAsia="Times New Roman"/>
                <w:color w:val="auto"/>
                <w:sz w:val="32"/>
              </w:rPr>
              <w:t>□</w:t>
            </w:r>
            <w:r>
              <w:rPr>
                <w:color w:val="auto"/>
                <w:sz w:val="21"/>
              </w:rPr>
              <w:t>票决法，具体要求详见第三章评标办法。</w:t>
            </w:r>
          </w:p>
          <w:p>
            <w:pPr>
              <w:pStyle w:val="45"/>
              <w:spacing w:before="1" w:line="368" w:lineRule="exact"/>
              <w:ind w:left="646"/>
              <w:rPr>
                <w:color w:val="auto"/>
                <w:sz w:val="21"/>
              </w:rPr>
            </w:pPr>
            <w:r>
              <w:rPr>
                <w:rFonts w:ascii="Times New Roman" w:hAnsi="Times New Roman" w:eastAsia="Times New Roman"/>
                <w:color w:val="auto"/>
                <w:sz w:val="32"/>
              </w:rPr>
              <w:t>□</w:t>
            </w:r>
            <w:r>
              <w:rPr>
                <w:color w:val="auto"/>
                <w:sz w:val="21"/>
              </w:rPr>
              <w:t>报价竞争法，具体要求详见第三章评标办法。</w:t>
            </w:r>
          </w:p>
          <w:p>
            <w:pPr>
              <w:pStyle w:val="45"/>
              <w:spacing w:before="9" w:line="252" w:lineRule="exact"/>
              <w:ind w:firstLine="640" w:firstLineChars="200"/>
              <w:rPr>
                <w:color w:val="auto"/>
                <w:sz w:val="21"/>
              </w:rPr>
            </w:pPr>
            <w:r>
              <w:rPr>
                <w:rFonts w:ascii="Times New Roman" w:hAnsi="Times New Roman" w:eastAsia="Times New Roman"/>
                <w:color w:val="auto"/>
                <w:sz w:val="32"/>
              </w:rPr>
              <w:t>□</w:t>
            </w:r>
            <w:r>
              <w:rPr>
                <w:color w:val="auto"/>
                <w:sz w:val="21"/>
              </w:rPr>
              <w:t>因素法，具体要求详见第三章评标办法。</w:t>
            </w:r>
          </w:p>
        </w:tc>
      </w:tr>
    </w:tbl>
    <w:p>
      <w:pPr>
        <w:spacing w:line="252" w:lineRule="exact"/>
        <w:rPr>
          <w:color w:val="auto"/>
          <w:sz w:val="21"/>
        </w:rPr>
        <w:sectPr>
          <w:pgSz w:w="11910" w:h="16850"/>
          <w:pgMar w:top="1520" w:right="1200" w:bottom="980" w:left="1180" w:header="0" w:footer="800" w:gutter="0"/>
          <w:cols w:space="720" w:num="1"/>
        </w:sectPr>
      </w:pPr>
    </w:p>
    <w:tbl>
      <w:tblPr>
        <w:tblStyle w:val="34"/>
        <w:tblW w:w="89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0"/>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66" w:type="dxa"/>
          </w:tcPr>
          <w:p>
            <w:pPr>
              <w:pStyle w:val="45"/>
              <w:spacing w:before="100"/>
              <w:ind w:right="204"/>
              <w:jc w:val="right"/>
              <w:rPr>
                <w:color w:val="auto"/>
                <w:sz w:val="21"/>
              </w:rPr>
            </w:pPr>
            <w:r>
              <w:rPr>
                <w:color w:val="auto"/>
                <w:sz w:val="21"/>
              </w:rPr>
              <w:t>条款号</w:t>
            </w:r>
          </w:p>
        </w:tc>
        <w:tc>
          <w:tcPr>
            <w:tcW w:w="1770" w:type="dxa"/>
          </w:tcPr>
          <w:p>
            <w:pPr>
              <w:pStyle w:val="45"/>
              <w:spacing w:before="100"/>
              <w:ind w:left="462"/>
              <w:rPr>
                <w:color w:val="auto"/>
                <w:sz w:val="21"/>
              </w:rPr>
            </w:pPr>
            <w:r>
              <w:rPr>
                <w:color w:val="auto"/>
                <w:sz w:val="21"/>
              </w:rPr>
              <w:t>条款名称</w:t>
            </w:r>
          </w:p>
        </w:tc>
        <w:tc>
          <w:tcPr>
            <w:tcW w:w="6098" w:type="dxa"/>
          </w:tcPr>
          <w:p>
            <w:pPr>
              <w:pStyle w:val="45"/>
              <w:spacing w:before="100"/>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34" w:type="dxa"/>
            <w:gridSpan w:val="3"/>
          </w:tcPr>
          <w:p>
            <w:pPr>
              <w:pStyle w:val="45"/>
              <w:spacing w:before="142"/>
              <w:ind w:left="427"/>
              <w:rPr>
                <w:color w:val="auto"/>
                <w:sz w:val="21"/>
              </w:rPr>
            </w:pPr>
            <w:r>
              <w:rPr>
                <w:rFonts w:ascii="Times New Roman" w:eastAsia="Times New Roman"/>
                <w:color w:val="auto"/>
                <w:sz w:val="21"/>
              </w:rPr>
              <w:t xml:space="preserve">10.1 </w:t>
            </w:r>
            <w:r>
              <w:rPr>
                <w:color w:val="auto"/>
                <w:sz w:val="21"/>
              </w:rPr>
              <w:t>补充内容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1" w:hRule="atLeast"/>
        </w:trPr>
        <w:tc>
          <w:tcPr>
            <w:tcW w:w="1066" w:type="dxa"/>
            <w:vMerge w:val="restart"/>
          </w:tcPr>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spacing w:before="6"/>
              <w:rPr>
                <w:rFonts w:ascii="黑体"/>
                <w:color w:val="auto"/>
                <w:sz w:val="16"/>
              </w:rPr>
            </w:pPr>
          </w:p>
          <w:p>
            <w:pPr>
              <w:pStyle w:val="45"/>
              <w:ind w:left="268"/>
              <w:rPr>
                <w:rFonts w:ascii="Times New Roman"/>
                <w:color w:val="auto"/>
                <w:sz w:val="21"/>
              </w:rPr>
            </w:pPr>
            <w:r>
              <w:rPr>
                <w:rFonts w:ascii="Times New Roman"/>
                <w:color w:val="auto"/>
                <w:sz w:val="21"/>
              </w:rPr>
              <w:t>10.1.1</w:t>
            </w:r>
          </w:p>
        </w:tc>
        <w:tc>
          <w:tcPr>
            <w:tcW w:w="1770" w:type="dxa"/>
            <w:vMerge w:val="restart"/>
          </w:tcPr>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spacing w:before="10"/>
              <w:rPr>
                <w:rFonts w:ascii="黑体"/>
                <w:color w:val="auto"/>
                <w:sz w:val="23"/>
              </w:rPr>
            </w:pPr>
          </w:p>
          <w:p>
            <w:pPr>
              <w:pStyle w:val="45"/>
              <w:ind w:left="253"/>
              <w:rPr>
                <w:color w:val="auto"/>
                <w:sz w:val="21"/>
              </w:rPr>
            </w:pPr>
            <w:r>
              <w:rPr>
                <w:color w:val="auto"/>
                <w:sz w:val="21"/>
              </w:rPr>
              <w:t>类似工程业绩</w:t>
            </w:r>
          </w:p>
        </w:tc>
        <w:tc>
          <w:tcPr>
            <w:tcW w:w="6098" w:type="dxa"/>
          </w:tcPr>
          <w:p>
            <w:pPr>
              <w:pStyle w:val="45"/>
              <w:numPr>
                <w:ilvl w:val="0"/>
                <w:numId w:val="0"/>
              </w:numPr>
              <w:tabs>
                <w:tab w:val="left" w:pos="586"/>
              </w:tabs>
              <w:spacing w:before="3" w:line="265" w:lineRule="exact"/>
              <w:rPr>
                <w:b/>
                <w:bCs/>
                <w:color w:val="auto"/>
                <w:sz w:val="21"/>
              </w:rPr>
            </w:pPr>
            <w:r>
              <w:rPr>
                <w:rFonts w:hint="eastAsia"/>
                <w:b/>
                <w:bCs/>
                <w:color w:val="auto"/>
                <w:spacing w:val="-3"/>
                <w:sz w:val="21"/>
                <w:lang w:val="en-US" w:eastAsia="zh-CN"/>
              </w:rPr>
              <w:t>1、</w:t>
            </w:r>
            <w:r>
              <w:rPr>
                <w:b/>
                <w:bCs/>
                <w:color w:val="auto"/>
                <w:spacing w:val="-3"/>
                <w:sz w:val="21"/>
              </w:rPr>
              <w:t>资格要求：</w:t>
            </w:r>
          </w:p>
          <w:p>
            <w:pPr>
              <w:pStyle w:val="45"/>
              <w:spacing w:line="364" w:lineRule="exact"/>
              <w:rPr>
                <w:color w:val="auto"/>
                <w:sz w:val="21"/>
              </w:rPr>
            </w:pPr>
            <w:r>
              <w:rPr>
                <w:rFonts w:ascii="Times New Roman" w:hAnsi="Times New Roman" w:eastAsia="Times New Roman"/>
                <w:color w:val="auto"/>
                <w:sz w:val="32"/>
              </w:rPr>
              <w:t>□</w:t>
            </w:r>
            <w:r>
              <w:rPr>
                <w:color w:val="auto"/>
                <w:sz w:val="21"/>
              </w:rPr>
              <w:t>不要求类似工程业绩</w:t>
            </w:r>
          </w:p>
          <w:p>
            <w:pPr>
              <w:pStyle w:val="45"/>
              <w:spacing w:before="7"/>
              <w:rPr>
                <w:color w:val="auto"/>
                <w:sz w:val="21"/>
              </w:rPr>
            </w:pPr>
            <w:r>
              <w:rPr>
                <w:rFonts w:hint="eastAsia" w:ascii="MS Gothic" w:hAnsi="MS Gothic" w:eastAsia="MS Gothic"/>
                <w:color w:val="auto"/>
                <w:sz w:val="32"/>
              </w:rPr>
              <w:t>☑</w:t>
            </w:r>
            <w:r>
              <w:rPr>
                <w:color w:val="auto"/>
                <w:sz w:val="21"/>
              </w:rPr>
              <w:t>要求类似工程业绩（由招标人在以下工程业绩中勾选一项）</w:t>
            </w:r>
          </w:p>
          <w:p>
            <w:pPr>
              <w:pStyle w:val="45"/>
              <w:tabs>
                <w:tab w:val="left" w:pos="2228"/>
              </w:tabs>
              <w:spacing w:before="3"/>
              <w:rPr>
                <w:color w:val="auto"/>
                <w:sz w:val="21"/>
              </w:rPr>
            </w:pPr>
            <w:r>
              <w:rPr>
                <w:rFonts w:hint="eastAsia" w:ascii="MS Gothic" w:hAnsi="MS Gothic" w:eastAsia="MS Gothic"/>
                <w:color w:val="auto"/>
                <w:sz w:val="32"/>
              </w:rPr>
              <w:t>☑</w:t>
            </w:r>
            <w:r>
              <w:rPr>
                <w:color w:val="auto"/>
                <w:sz w:val="21"/>
              </w:rPr>
              <w:t>投标人</w:t>
            </w:r>
            <w:r>
              <w:rPr>
                <w:color w:val="auto"/>
                <w:spacing w:val="-55"/>
                <w:sz w:val="21"/>
              </w:rPr>
              <w:t xml:space="preserve"> </w:t>
            </w:r>
            <w:r>
              <w:rPr>
                <w:rFonts w:ascii="Times New Roman" w:hAnsi="Times New Roman" w:eastAsia="Times New Roman"/>
                <w:color w:val="auto"/>
                <w:sz w:val="21"/>
              </w:rPr>
              <w:t>1</w:t>
            </w:r>
            <w:r>
              <w:rPr>
                <w:rFonts w:ascii="Times New Roman" w:hAnsi="Times New Roman" w:eastAsia="Times New Roman"/>
                <w:color w:val="auto"/>
                <w:spacing w:val="1"/>
                <w:sz w:val="21"/>
              </w:rPr>
              <w:t xml:space="preserve"> </w:t>
            </w:r>
            <w:r>
              <w:rPr>
                <w:color w:val="auto"/>
                <w:sz w:val="21"/>
              </w:rPr>
              <w:t>项</w:t>
            </w:r>
            <w:r>
              <w:rPr>
                <w:color w:val="auto"/>
                <w:sz w:val="21"/>
              </w:rPr>
              <w:tab/>
            </w:r>
            <w:r>
              <w:rPr>
                <w:rFonts w:ascii="Times New Roman" w:hAnsi="Times New Roman" w:eastAsia="Times New Roman"/>
                <w:color w:val="auto"/>
                <w:sz w:val="32"/>
              </w:rPr>
              <w:t>□</w:t>
            </w:r>
            <w:r>
              <w:rPr>
                <w:color w:val="auto"/>
                <w:sz w:val="21"/>
              </w:rPr>
              <w:t>拟</w:t>
            </w:r>
            <w:r>
              <w:rPr>
                <w:color w:val="auto"/>
                <w:spacing w:val="-3"/>
                <w:sz w:val="21"/>
              </w:rPr>
              <w:t>任项</w:t>
            </w:r>
            <w:r>
              <w:rPr>
                <w:color w:val="auto"/>
                <w:sz w:val="21"/>
              </w:rPr>
              <w:t>目</w:t>
            </w:r>
            <w:r>
              <w:rPr>
                <w:color w:val="auto"/>
                <w:spacing w:val="-3"/>
                <w:sz w:val="21"/>
              </w:rPr>
              <w:t>经</w:t>
            </w:r>
            <w:r>
              <w:rPr>
                <w:color w:val="auto"/>
                <w:sz w:val="21"/>
              </w:rPr>
              <w:t>理</w:t>
            </w:r>
            <w:r>
              <w:rPr>
                <w:color w:val="auto"/>
                <w:spacing w:val="-53"/>
                <w:sz w:val="21"/>
              </w:rPr>
              <w:t xml:space="preserve"> </w:t>
            </w:r>
            <w:r>
              <w:rPr>
                <w:rFonts w:ascii="Times New Roman" w:hAnsi="Times New Roman" w:eastAsia="Times New Roman"/>
                <w:color w:val="auto"/>
                <w:sz w:val="21"/>
              </w:rPr>
              <w:t xml:space="preserve">1 </w:t>
            </w:r>
            <w:r>
              <w:rPr>
                <w:color w:val="auto"/>
                <w:sz w:val="21"/>
              </w:rPr>
              <w:t>项</w:t>
            </w:r>
          </w:p>
          <w:p>
            <w:pPr>
              <w:pStyle w:val="45"/>
              <w:numPr>
                <w:ilvl w:val="0"/>
                <w:numId w:val="0"/>
              </w:numPr>
              <w:tabs>
                <w:tab w:val="left" w:pos="586"/>
              </w:tabs>
              <w:spacing w:before="7" w:line="242" w:lineRule="auto"/>
              <w:ind w:right="3399" w:rightChars="0"/>
              <w:rPr>
                <w:color w:val="auto"/>
                <w:sz w:val="21"/>
              </w:rPr>
            </w:pPr>
            <w:r>
              <w:rPr>
                <w:rFonts w:hint="eastAsia"/>
                <w:b/>
                <w:bCs/>
                <w:color w:val="auto"/>
                <w:spacing w:val="-5"/>
                <w:sz w:val="21"/>
                <w:lang w:val="en-US" w:eastAsia="zh-CN"/>
              </w:rPr>
              <w:t>2、</w:t>
            </w:r>
            <w:r>
              <w:rPr>
                <w:b/>
                <w:bCs/>
                <w:color w:val="auto"/>
                <w:spacing w:val="-5"/>
                <w:sz w:val="21"/>
              </w:rPr>
              <w:t>评审加分类似工程业绩</w:t>
            </w:r>
            <w:r>
              <w:rPr>
                <w:b/>
                <w:bCs/>
                <w:color w:val="auto"/>
                <w:spacing w:val="-2"/>
                <w:sz w:val="21"/>
              </w:rPr>
              <w:t>拟任项目经理</w:t>
            </w:r>
          </w:p>
          <w:p>
            <w:pPr>
              <w:pStyle w:val="45"/>
              <w:tabs>
                <w:tab w:val="left" w:pos="1798"/>
              </w:tabs>
              <w:spacing w:line="410" w:lineRule="exact"/>
              <w:rPr>
                <w:color w:val="auto"/>
                <w:sz w:val="21"/>
              </w:rPr>
            </w:pPr>
            <w:r>
              <w:rPr>
                <w:rFonts w:hint="eastAsia" w:ascii="MS Gothic" w:hAnsi="MS Gothic" w:eastAsia="MS Gothic"/>
                <w:color w:val="auto"/>
                <w:sz w:val="32"/>
              </w:rPr>
              <w:t>☑</w:t>
            </w:r>
            <w:r>
              <w:rPr>
                <w:color w:val="auto"/>
                <w:sz w:val="21"/>
              </w:rPr>
              <w:t>不</w:t>
            </w:r>
            <w:r>
              <w:rPr>
                <w:color w:val="auto"/>
                <w:spacing w:val="-3"/>
                <w:sz w:val="21"/>
              </w:rPr>
              <w:t>要</w:t>
            </w:r>
            <w:r>
              <w:rPr>
                <w:color w:val="auto"/>
                <w:sz w:val="21"/>
              </w:rPr>
              <w:t>求</w:t>
            </w:r>
            <w:r>
              <w:rPr>
                <w:rFonts w:hint="eastAsia"/>
                <w:color w:val="auto"/>
                <w:sz w:val="21"/>
                <w:lang w:val="en-US" w:eastAsia="zh-CN"/>
              </w:rPr>
              <w:t xml:space="preserve">      </w:t>
            </w:r>
            <w:r>
              <w:rPr>
                <w:rFonts w:ascii="Times New Roman" w:hAnsi="Times New Roman" w:eastAsia="Times New Roman"/>
                <w:color w:val="auto"/>
                <w:sz w:val="32"/>
              </w:rPr>
              <w:t>□</w:t>
            </w:r>
            <w:r>
              <w:rPr>
                <w:color w:val="auto"/>
                <w:spacing w:val="-3"/>
                <w:sz w:val="21"/>
              </w:rPr>
              <w:t>要求</w:t>
            </w:r>
          </w:p>
          <w:p>
            <w:pPr>
              <w:pStyle w:val="45"/>
              <w:spacing w:before="7"/>
              <w:rPr>
                <w:b/>
                <w:bCs/>
                <w:color w:val="auto"/>
                <w:sz w:val="21"/>
              </w:rPr>
            </w:pPr>
            <w:r>
              <w:rPr>
                <w:b/>
                <w:bCs/>
                <w:color w:val="auto"/>
                <w:sz w:val="21"/>
              </w:rPr>
              <w:t>投标人：</w:t>
            </w:r>
          </w:p>
          <w:p>
            <w:pPr>
              <w:pStyle w:val="45"/>
              <w:tabs>
                <w:tab w:val="left" w:pos="1565"/>
              </w:tabs>
              <w:rPr>
                <w:color w:val="auto"/>
                <w:sz w:val="21"/>
              </w:rPr>
            </w:pPr>
            <w:r>
              <w:rPr>
                <w:rFonts w:ascii="Times New Roman" w:hAnsi="Times New Roman" w:eastAsia="Times New Roman"/>
                <w:color w:val="auto"/>
                <w:sz w:val="32"/>
              </w:rPr>
              <w:t>□</w:t>
            </w:r>
            <w:r>
              <w:rPr>
                <w:color w:val="auto"/>
                <w:sz w:val="21"/>
              </w:rPr>
              <w:t>不要求</w:t>
            </w:r>
            <w:r>
              <w:rPr>
                <w:color w:val="auto"/>
                <w:sz w:val="21"/>
              </w:rPr>
              <w:tab/>
            </w:r>
            <w:r>
              <w:rPr>
                <w:rFonts w:hint="eastAsia" w:ascii="MS Gothic" w:hAnsi="MS Gothic" w:eastAsia="MS Gothic"/>
                <w:color w:val="auto"/>
                <w:sz w:val="32"/>
              </w:rPr>
              <w:t>☑</w:t>
            </w:r>
            <w:r>
              <w:rPr>
                <w:color w:val="auto"/>
                <w:sz w:val="21"/>
              </w:rPr>
              <w:t>要</w:t>
            </w:r>
            <w:r>
              <w:rPr>
                <w:color w:val="auto"/>
                <w:spacing w:val="-3"/>
                <w:sz w:val="21"/>
              </w:rPr>
              <w:t>求</w:t>
            </w:r>
            <w:r>
              <w:rPr>
                <w:color w:val="auto"/>
                <w:sz w:val="21"/>
              </w:rPr>
              <w:t>：</w:t>
            </w:r>
          </w:p>
          <w:p>
            <w:pPr>
              <w:pStyle w:val="45"/>
              <w:spacing w:before="7"/>
              <w:ind w:left="425"/>
              <w:rPr>
                <w:color w:val="auto"/>
                <w:sz w:val="21"/>
              </w:rPr>
            </w:pPr>
            <w:r>
              <w:rPr>
                <w:color w:val="auto"/>
                <w:sz w:val="21"/>
              </w:rPr>
              <w:t>类似工程业绩应当符合以下规定：</w:t>
            </w:r>
          </w:p>
          <w:p>
            <w:pPr>
              <w:pStyle w:val="45"/>
              <w:numPr>
                <w:ilvl w:val="0"/>
                <w:numId w:val="0"/>
              </w:numPr>
              <w:spacing w:before="2" w:line="360" w:lineRule="auto"/>
              <w:rPr>
                <w:rFonts w:hint="eastAsia" w:ascii="Times New Roman" w:eastAsia="宋体"/>
                <w:color w:val="auto"/>
                <w:sz w:val="21"/>
                <w:lang w:val="en-US" w:eastAsia="zh-CN"/>
              </w:rPr>
            </w:pPr>
            <w:r>
              <w:rPr>
                <w:color w:val="auto"/>
                <w:spacing w:val="-3"/>
                <w:sz w:val="21"/>
              </w:rPr>
              <w:t>资格要求的类似工程业绩：</w:t>
            </w:r>
            <w:r>
              <w:rPr>
                <w:rFonts w:hint="eastAsia"/>
                <w:color w:val="auto"/>
                <w:spacing w:val="-3"/>
                <w:sz w:val="21"/>
                <w:lang w:val="en-US" w:eastAsia="zh-CN"/>
              </w:rPr>
              <w:t>参与投标的工程总承包单位在</w:t>
            </w:r>
            <w:r>
              <w:rPr>
                <w:color w:val="auto"/>
                <w:spacing w:val="-3"/>
                <w:sz w:val="21"/>
                <w:lang w:val="en-US"/>
              </w:rPr>
              <w:t>投标截止时间前36个月</w:t>
            </w:r>
            <w:r>
              <w:rPr>
                <w:rFonts w:hint="eastAsia"/>
                <w:color w:val="auto"/>
                <w:spacing w:val="-3"/>
                <w:sz w:val="21"/>
                <w:lang w:val="en-US"/>
              </w:rPr>
              <w:t>内承担过</w:t>
            </w:r>
            <w:r>
              <w:rPr>
                <w:rFonts w:hint="eastAsia"/>
                <w:color w:val="auto"/>
                <w:sz w:val="21"/>
                <w:szCs w:val="21"/>
                <w:lang w:val="en-US" w:eastAsia="zh-CN"/>
              </w:rPr>
              <w:t>单项建安工程规模</w:t>
            </w:r>
            <w:r>
              <w:rPr>
                <w:rFonts w:hint="eastAsia"/>
                <w:color w:val="auto"/>
                <w:spacing w:val="-3"/>
                <w:sz w:val="21"/>
                <w:lang w:val="en-US" w:eastAsia="zh-CN"/>
              </w:rPr>
              <w:t>在1000万元及以上的市政公用工程的设计、施工或EPC业绩。</w:t>
            </w:r>
            <w:r>
              <w:rPr>
                <w:color w:val="auto"/>
                <w:spacing w:val="-3"/>
                <w:sz w:val="21"/>
                <w:lang w:val="en-US"/>
              </w:rPr>
              <w:t>（业绩</w:t>
            </w:r>
            <w:r>
              <w:rPr>
                <w:rFonts w:hint="eastAsia"/>
                <w:color w:val="auto"/>
                <w:spacing w:val="-3"/>
                <w:sz w:val="21"/>
                <w:lang w:val="en-US"/>
              </w:rPr>
              <w:t>应当</w:t>
            </w:r>
            <w:r>
              <w:rPr>
                <w:color w:val="auto"/>
                <w:spacing w:val="-3"/>
                <w:sz w:val="21"/>
                <w:lang w:val="en-US"/>
              </w:rPr>
              <w:t>同时提供中标通知书</w:t>
            </w:r>
            <w:r>
              <w:rPr>
                <w:rFonts w:hint="eastAsia"/>
                <w:color w:val="auto"/>
                <w:spacing w:val="-3"/>
                <w:sz w:val="21"/>
                <w:lang w:val="en-US"/>
              </w:rPr>
              <w:t>（招标工程）</w:t>
            </w:r>
            <w:r>
              <w:rPr>
                <w:color w:val="auto"/>
                <w:spacing w:val="-3"/>
                <w:sz w:val="21"/>
                <w:lang w:val="en-US"/>
              </w:rPr>
              <w:t>、</w:t>
            </w:r>
            <w:r>
              <w:rPr>
                <w:rFonts w:hint="eastAsia"/>
                <w:color w:val="auto"/>
                <w:spacing w:val="-3"/>
                <w:sz w:val="21"/>
                <w:lang w:val="en-US"/>
              </w:rPr>
              <w:t>合同协议书，施工业绩还应提供</w:t>
            </w:r>
            <w:r>
              <w:rPr>
                <w:color w:val="auto"/>
                <w:spacing w:val="-3"/>
                <w:sz w:val="21"/>
                <w:lang w:val="en-US"/>
              </w:rPr>
              <w:t>经建设工程质量监督部门签字确认</w:t>
            </w:r>
            <w:r>
              <w:rPr>
                <w:rFonts w:hint="eastAsia"/>
                <w:color w:val="auto"/>
                <w:spacing w:val="-3"/>
                <w:sz w:val="21"/>
                <w:lang w:val="en-US"/>
              </w:rPr>
              <w:t>的</w:t>
            </w:r>
            <w:r>
              <w:rPr>
                <w:color w:val="auto"/>
                <w:spacing w:val="-3"/>
                <w:sz w:val="21"/>
                <w:lang w:val="en-US"/>
              </w:rPr>
              <w:t>竣工验收备案表或由建设方、施工方、监理方、设计方盖章认可</w:t>
            </w:r>
            <w:r>
              <w:rPr>
                <w:rFonts w:hint="eastAsia"/>
                <w:color w:val="auto"/>
                <w:spacing w:val="-3"/>
                <w:sz w:val="21"/>
                <w:lang w:val="en-US"/>
              </w:rPr>
              <w:t>的</w:t>
            </w:r>
            <w:r>
              <w:rPr>
                <w:color w:val="auto"/>
                <w:spacing w:val="-3"/>
                <w:sz w:val="21"/>
                <w:lang w:val="en-US"/>
              </w:rPr>
              <w:t>竣工验收证明，</w:t>
            </w:r>
            <w:r>
              <w:rPr>
                <w:rFonts w:hint="eastAsia"/>
                <w:color w:val="auto"/>
                <w:spacing w:val="-3"/>
                <w:sz w:val="21"/>
                <w:lang w:val="en-US"/>
              </w:rPr>
              <w:t>施工业绩</w:t>
            </w:r>
            <w:r>
              <w:rPr>
                <w:color w:val="auto"/>
                <w:spacing w:val="-3"/>
                <w:sz w:val="21"/>
                <w:lang w:val="en-US"/>
              </w:rPr>
              <w:t>时间以竣工验收备案登记表或竣工验收证明上建设单位签字的时间为准</w:t>
            </w:r>
            <w:r>
              <w:rPr>
                <w:rFonts w:hint="eastAsia"/>
                <w:color w:val="auto"/>
                <w:spacing w:val="-3"/>
                <w:sz w:val="21"/>
                <w:lang w:val="en-US"/>
              </w:rPr>
              <w:t>，设计业绩时间以合同协议书签订时间为准</w:t>
            </w:r>
            <w:r>
              <w:rPr>
                <w:rFonts w:hint="eastAsia"/>
                <w:color w:val="auto"/>
                <w:spacing w:val="-3"/>
                <w:sz w:val="21"/>
                <w:lang w:val="en-US" w:eastAsia="zh-CN"/>
              </w:rPr>
              <w:t>，并提供相应的佐证材料</w:t>
            </w:r>
            <w:r>
              <w:rPr>
                <w:rFonts w:hint="eastAsia"/>
                <w:color w:val="auto"/>
                <w:spacing w:val="-3"/>
                <w:sz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1066" w:type="dxa"/>
            <w:vMerge w:val="continue"/>
            <w:tcBorders>
              <w:top w:val="nil"/>
            </w:tcBorders>
          </w:tcPr>
          <w:p>
            <w:pPr>
              <w:rPr>
                <w:color w:val="auto"/>
                <w:sz w:val="2"/>
                <w:szCs w:val="2"/>
              </w:rPr>
            </w:pPr>
          </w:p>
        </w:tc>
        <w:tc>
          <w:tcPr>
            <w:tcW w:w="1770" w:type="dxa"/>
            <w:vMerge w:val="continue"/>
            <w:tcBorders>
              <w:top w:val="nil"/>
            </w:tcBorders>
          </w:tcPr>
          <w:p>
            <w:pPr>
              <w:rPr>
                <w:color w:val="auto"/>
                <w:sz w:val="2"/>
                <w:szCs w:val="2"/>
              </w:rPr>
            </w:pPr>
          </w:p>
        </w:tc>
        <w:tc>
          <w:tcPr>
            <w:tcW w:w="6098" w:type="dxa"/>
            <w:tcBorders>
              <w:top w:val="single" w:color="000000" w:sz="6" w:space="0"/>
            </w:tcBorders>
          </w:tcPr>
          <w:p>
            <w:pPr>
              <w:pStyle w:val="45"/>
              <w:keepNext w:val="0"/>
              <w:keepLines w:val="0"/>
              <w:pageBreakBefore w:val="0"/>
              <w:widowControl w:val="0"/>
              <w:kinsoku/>
              <w:wordWrap/>
              <w:overflowPunct/>
              <w:topLinePunct w:val="0"/>
              <w:autoSpaceDE w:val="0"/>
              <w:autoSpaceDN w:val="0"/>
              <w:bidi w:val="0"/>
              <w:adjustRightInd/>
              <w:snapToGrid/>
              <w:spacing w:before="21" w:line="360" w:lineRule="exact"/>
              <w:ind w:right="-17" w:firstLine="404" w:firstLineChars="200"/>
              <w:textAlignment w:val="auto"/>
              <w:rPr>
                <w:rFonts w:hint="eastAsia" w:eastAsia="宋体"/>
                <w:color w:val="auto"/>
                <w:sz w:val="21"/>
                <w:lang w:eastAsia="zh-CN"/>
              </w:rPr>
            </w:pPr>
            <w:r>
              <w:rPr>
                <w:color w:val="auto"/>
                <w:spacing w:val="-4"/>
                <w:sz w:val="21"/>
              </w:rPr>
              <w:t>评审加分要求的类似工程业绩：</w:t>
            </w:r>
            <w:r>
              <w:rPr>
                <w:rFonts w:hint="eastAsia"/>
                <w:color w:val="auto"/>
                <w:sz w:val="21"/>
                <w:szCs w:val="21"/>
                <w:lang w:val="en-US" w:eastAsia="zh-CN"/>
              </w:rPr>
              <w:t>参与投标的工程总承包单位在</w:t>
            </w:r>
            <w:r>
              <w:rPr>
                <w:color w:val="auto"/>
                <w:sz w:val="21"/>
                <w:szCs w:val="21"/>
                <w:lang w:val="en-US"/>
              </w:rPr>
              <w:t>投标截止时间前36个月</w:t>
            </w:r>
            <w:r>
              <w:rPr>
                <w:rFonts w:hint="eastAsia"/>
                <w:color w:val="auto"/>
                <w:sz w:val="21"/>
                <w:szCs w:val="21"/>
                <w:lang w:val="en-US"/>
              </w:rPr>
              <w:t>内承担过</w:t>
            </w:r>
            <w:r>
              <w:rPr>
                <w:rFonts w:hint="eastAsia"/>
                <w:color w:val="auto"/>
                <w:sz w:val="21"/>
                <w:szCs w:val="21"/>
                <w:lang w:val="en-US" w:eastAsia="zh-CN"/>
              </w:rPr>
              <w:t>单项建安工程规模在1250万元及以上的市政公用工程的设计或施工业绩。</w:t>
            </w:r>
            <w:r>
              <w:rPr>
                <w:color w:val="auto"/>
                <w:sz w:val="21"/>
                <w:szCs w:val="21"/>
                <w:lang w:val="en-US"/>
              </w:rPr>
              <w:t>（业绩</w:t>
            </w:r>
            <w:r>
              <w:rPr>
                <w:rFonts w:hint="eastAsia"/>
                <w:color w:val="auto"/>
                <w:sz w:val="21"/>
                <w:szCs w:val="21"/>
                <w:lang w:val="en-US"/>
              </w:rPr>
              <w:t>应当</w:t>
            </w:r>
            <w:r>
              <w:rPr>
                <w:color w:val="auto"/>
                <w:sz w:val="21"/>
                <w:szCs w:val="21"/>
                <w:lang w:val="en-US"/>
              </w:rPr>
              <w:t>同时提供中标通知书</w:t>
            </w:r>
            <w:r>
              <w:rPr>
                <w:rFonts w:hint="eastAsia"/>
                <w:color w:val="auto"/>
                <w:sz w:val="21"/>
                <w:szCs w:val="21"/>
                <w:lang w:val="en-US"/>
              </w:rPr>
              <w:t>（招标工程）</w:t>
            </w:r>
            <w:r>
              <w:rPr>
                <w:color w:val="auto"/>
                <w:sz w:val="21"/>
                <w:szCs w:val="21"/>
                <w:lang w:val="en-US"/>
              </w:rPr>
              <w:t>、</w:t>
            </w:r>
            <w:r>
              <w:rPr>
                <w:rFonts w:hint="eastAsia"/>
                <w:color w:val="auto"/>
                <w:sz w:val="21"/>
                <w:szCs w:val="21"/>
                <w:lang w:val="en-US"/>
              </w:rPr>
              <w:t>合同协议书，施工业绩还应提供</w:t>
            </w:r>
            <w:r>
              <w:rPr>
                <w:color w:val="auto"/>
                <w:sz w:val="21"/>
                <w:szCs w:val="21"/>
                <w:lang w:val="en-US"/>
              </w:rPr>
              <w:t>经建设工程质量监督部门签字确认</w:t>
            </w:r>
            <w:r>
              <w:rPr>
                <w:rFonts w:hint="eastAsia"/>
                <w:color w:val="auto"/>
                <w:sz w:val="21"/>
                <w:szCs w:val="21"/>
                <w:lang w:val="en-US"/>
              </w:rPr>
              <w:t>的</w:t>
            </w:r>
            <w:r>
              <w:rPr>
                <w:color w:val="auto"/>
                <w:sz w:val="21"/>
                <w:szCs w:val="21"/>
                <w:lang w:val="en-US"/>
              </w:rPr>
              <w:t>竣工验收备案表或由建设方、施工方、监理方、设计方盖章认可</w:t>
            </w:r>
            <w:r>
              <w:rPr>
                <w:rFonts w:hint="eastAsia"/>
                <w:color w:val="auto"/>
                <w:sz w:val="21"/>
                <w:szCs w:val="21"/>
                <w:lang w:val="en-US"/>
              </w:rPr>
              <w:t>的</w:t>
            </w:r>
            <w:r>
              <w:rPr>
                <w:color w:val="auto"/>
                <w:sz w:val="21"/>
                <w:szCs w:val="21"/>
                <w:lang w:val="en-US"/>
              </w:rPr>
              <w:t>竣工验收证明，</w:t>
            </w:r>
            <w:r>
              <w:rPr>
                <w:rFonts w:hint="eastAsia"/>
                <w:color w:val="auto"/>
                <w:sz w:val="21"/>
                <w:szCs w:val="21"/>
                <w:lang w:val="en-US"/>
              </w:rPr>
              <w:t>施工业绩</w:t>
            </w:r>
            <w:r>
              <w:rPr>
                <w:color w:val="auto"/>
                <w:sz w:val="21"/>
                <w:szCs w:val="21"/>
                <w:lang w:val="en-US"/>
              </w:rPr>
              <w:t>时间以竣工验收备案登记表或竣工验收证明上建设单位签字的时间为准</w:t>
            </w:r>
            <w:r>
              <w:rPr>
                <w:rFonts w:hint="eastAsia"/>
                <w:color w:val="auto"/>
                <w:sz w:val="21"/>
                <w:szCs w:val="21"/>
                <w:lang w:val="en-US"/>
              </w:rPr>
              <w:t>，设计业绩时间以合同协议书签订时间为准</w:t>
            </w:r>
            <w:r>
              <w:rPr>
                <w:rFonts w:hint="eastAsia"/>
                <w:color w:val="auto"/>
                <w:sz w:val="21"/>
                <w:szCs w:val="21"/>
                <w:lang w:val="en-US" w:eastAsia="zh-CN"/>
              </w:rPr>
              <w:t>，并提供相应的佐证材料</w:t>
            </w:r>
            <w:r>
              <w:rPr>
                <w:rFonts w:hint="eastAsia"/>
                <w:color w:val="auto"/>
                <w:sz w:val="21"/>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6" w:type="dxa"/>
          </w:tcPr>
          <w:p>
            <w:pPr>
              <w:pStyle w:val="45"/>
              <w:spacing w:before="12"/>
              <w:rPr>
                <w:rFonts w:ascii="黑体"/>
                <w:color w:val="auto"/>
                <w:sz w:val="21"/>
              </w:rPr>
            </w:pPr>
          </w:p>
          <w:p>
            <w:pPr>
              <w:pStyle w:val="45"/>
              <w:ind w:right="257"/>
              <w:jc w:val="right"/>
              <w:rPr>
                <w:rFonts w:ascii="Times New Roman"/>
                <w:color w:val="auto"/>
                <w:sz w:val="21"/>
              </w:rPr>
            </w:pPr>
            <w:r>
              <w:rPr>
                <w:rFonts w:ascii="Times New Roman"/>
                <w:color w:val="auto"/>
                <w:sz w:val="21"/>
              </w:rPr>
              <w:t>10.2.1</w:t>
            </w:r>
          </w:p>
        </w:tc>
        <w:tc>
          <w:tcPr>
            <w:tcW w:w="1770" w:type="dxa"/>
          </w:tcPr>
          <w:p>
            <w:pPr>
              <w:pStyle w:val="45"/>
              <w:spacing w:before="5"/>
              <w:rPr>
                <w:rFonts w:ascii="黑体"/>
                <w:color w:val="auto"/>
                <w:sz w:val="21"/>
              </w:rPr>
            </w:pPr>
          </w:p>
          <w:p>
            <w:pPr>
              <w:pStyle w:val="45"/>
              <w:ind w:left="462"/>
              <w:jc w:val="center"/>
              <w:rPr>
                <w:color w:val="auto"/>
                <w:sz w:val="21"/>
                <w:lang w:val="en-US"/>
              </w:rPr>
            </w:pPr>
            <w:r>
              <w:rPr>
                <w:rFonts w:hint="eastAsia"/>
                <w:color w:val="auto"/>
                <w:sz w:val="21"/>
                <w:lang w:val="en-US"/>
              </w:rPr>
              <w:t>最高投标限价</w:t>
            </w:r>
          </w:p>
        </w:tc>
        <w:tc>
          <w:tcPr>
            <w:tcW w:w="6098" w:type="dxa"/>
          </w:tcPr>
          <w:p>
            <w:pPr>
              <w:pStyle w:val="45"/>
              <w:spacing w:before="1" w:line="360" w:lineRule="auto"/>
              <w:ind w:right="-72" w:rightChars="0"/>
              <w:rPr>
                <w:color w:val="auto"/>
                <w:sz w:val="21"/>
              </w:rPr>
            </w:pPr>
            <w:r>
              <w:rPr>
                <w:color w:val="auto"/>
                <w:sz w:val="21"/>
                <w:szCs w:val="21"/>
                <w:lang w:val="en-US"/>
              </w:rPr>
              <w:t>最高投标限价总价：</w:t>
            </w:r>
            <w:r>
              <w:rPr>
                <w:rFonts w:hint="eastAsia"/>
                <w:color w:val="auto"/>
                <w:sz w:val="21"/>
                <w:szCs w:val="21"/>
                <w:lang w:val="en-US" w:eastAsia="zh-CN"/>
              </w:rPr>
              <w:t>27320923.16元【其中勘察设计费：486100.00元（详见概算资料中“工程建设其他费 概算表”）；建安费：26834823.16元（除去工程其他费后）】</w:t>
            </w:r>
            <w:r>
              <w:rPr>
                <w:color w:val="auto"/>
                <w:sz w:val="21"/>
              </w:rPr>
              <w:t>投标的报价不得超出最高投标限价，超出最高投标限价的按不响应招标文件，作无效标处理。</w:t>
            </w:r>
            <w:r>
              <w:rPr>
                <w:rFonts w:hint="eastAsia"/>
                <w:color w:val="auto"/>
                <w:sz w:val="21"/>
                <w:lang w:val="en-US"/>
              </w:rPr>
              <w:t xml:space="preserve">  </w:t>
            </w:r>
          </w:p>
        </w:tc>
      </w:tr>
    </w:tbl>
    <w:p>
      <w:pPr>
        <w:spacing w:line="249" w:lineRule="exact"/>
        <w:rPr>
          <w:color w:val="auto"/>
          <w:sz w:val="21"/>
        </w:rPr>
        <w:sectPr>
          <w:pgSz w:w="11910" w:h="16850"/>
          <w:pgMar w:top="1520" w:right="1200" w:bottom="980" w:left="1180" w:header="0" w:footer="800" w:gutter="0"/>
          <w:cols w:space="720" w:num="1"/>
        </w:sectPr>
      </w:pPr>
    </w:p>
    <w:tbl>
      <w:tblPr>
        <w:tblStyle w:val="34"/>
        <w:tblW w:w="89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0"/>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66" w:type="dxa"/>
          </w:tcPr>
          <w:p>
            <w:pPr>
              <w:pStyle w:val="45"/>
              <w:spacing w:before="100"/>
              <w:ind w:left="215"/>
              <w:rPr>
                <w:color w:val="auto"/>
                <w:sz w:val="21"/>
              </w:rPr>
            </w:pPr>
            <w:r>
              <w:rPr>
                <w:color w:val="auto"/>
                <w:sz w:val="21"/>
              </w:rPr>
              <w:t>条款号</w:t>
            </w:r>
          </w:p>
        </w:tc>
        <w:tc>
          <w:tcPr>
            <w:tcW w:w="1770" w:type="dxa"/>
          </w:tcPr>
          <w:p>
            <w:pPr>
              <w:pStyle w:val="45"/>
              <w:spacing w:before="100"/>
              <w:ind w:left="462"/>
              <w:rPr>
                <w:color w:val="auto"/>
                <w:sz w:val="21"/>
              </w:rPr>
            </w:pPr>
            <w:r>
              <w:rPr>
                <w:color w:val="auto"/>
                <w:sz w:val="21"/>
              </w:rPr>
              <w:t>条款名称</w:t>
            </w:r>
          </w:p>
        </w:tc>
        <w:tc>
          <w:tcPr>
            <w:tcW w:w="6098" w:type="dxa"/>
          </w:tcPr>
          <w:p>
            <w:pPr>
              <w:pStyle w:val="45"/>
              <w:spacing w:before="100"/>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1066" w:type="dxa"/>
          </w:tcPr>
          <w:p>
            <w:pPr>
              <w:pStyle w:val="45"/>
              <w:spacing w:before="7"/>
              <w:rPr>
                <w:rFonts w:ascii="黑体"/>
                <w:color w:val="auto"/>
                <w:sz w:val="21"/>
              </w:rPr>
            </w:pPr>
          </w:p>
          <w:p>
            <w:pPr>
              <w:pStyle w:val="45"/>
              <w:ind w:left="268"/>
              <w:rPr>
                <w:rFonts w:ascii="Times New Roman"/>
                <w:color w:val="auto"/>
                <w:sz w:val="21"/>
              </w:rPr>
            </w:pPr>
            <w:r>
              <w:rPr>
                <w:rFonts w:ascii="Times New Roman"/>
                <w:color w:val="auto"/>
                <w:sz w:val="21"/>
              </w:rPr>
              <w:t>10.2.2</w:t>
            </w:r>
          </w:p>
        </w:tc>
        <w:tc>
          <w:tcPr>
            <w:tcW w:w="1770" w:type="dxa"/>
          </w:tcPr>
          <w:p>
            <w:pPr>
              <w:pStyle w:val="45"/>
              <w:spacing w:before="133" w:line="242" w:lineRule="auto"/>
              <w:ind w:left="673" w:right="241" w:hanging="420"/>
              <w:rPr>
                <w:color w:val="auto"/>
                <w:sz w:val="21"/>
              </w:rPr>
            </w:pPr>
            <w:r>
              <w:rPr>
                <w:color w:val="auto"/>
                <w:sz w:val="21"/>
              </w:rPr>
              <w:t>投标报价计税方式</w:t>
            </w:r>
          </w:p>
        </w:tc>
        <w:tc>
          <w:tcPr>
            <w:tcW w:w="6098" w:type="dxa"/>
          </w:tcPr>
          <w:p>
            <w:pPr>
              <w:pStyle w:val="45"/>
              <w:spacing w:before="11" w:line="409" w:lineRule="exact"/>
              <w:ind w:left="646"/>
              <w:rPr>
                <w:color w:val="auto"/>
                <w:sz w:val="21"/>
              </w:rPr>
            </w:pPr>
            <w:r>
              <w:rPr>
                <w:rFonts w:hint="eastAsia" w:ascii="MS Gothic" w:hAnsi="MS Gothic" w:eastAsia="MS Gothic"/>
                <w:color w:val="auto"/>
                <w:sz w:val="32"/>
              </w:rPr>
              <w:t>☑</w:t>
            </w:r>
            <w:r>
              <w:rPr>
                <w:color w:val="auto"/>
                <w:sz w:val="21"/>
              </w:rPr>
              <w:t xml:space="preserve">一般计税法 </w:t>
            </w:r>
          </w:p>
          <w:p>
            <w:pPr>
              <w:pStyle w:val="45"/>
              <w:spacing w:line="367" w:lineRule="exact"/>
              <w:ind w:left="646"/>
              <w:rPr>
                <w:color w:val="auto"/>
                <w:sz w:val="21"/>
              </w:rPr>
            </w:pPr>
            <w:r>
              <w:rPr>
                <w:rFonts w:ascii="Times New Roman" w:hAnsi="Times New Roman" w:eastAsia="Times New Roman"/>
                <w:color w:val="auto"/>
                <w:sz w:val="32"/>
              </w:rPr>
              <w:t>□</w:t>
            </w:r>
            <w:r>
              <w:rPr>
                <w:color w:val="auto"/>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066" w:type="dxa"/>
          </w:tcPr>
          <w:p>
            <w:pPr>
              <w:pStyle w:val="45"/>
              <w:rPr>
                <w:rFonts w:ascii="黑体"/>
                <w:color w:val="auto"/>
              </w:rPr>
            </w:pPr>
          </w:p>
          <w:p>
            <w:pPr>
              <w:pStyle w:val="45"/>
              <w:spacing w:before="1"/>
              <w:rPr>
                <w:rFonts w:ascii="黑体"/>
                <w:color w:val="auto"/>
                <w:sz w:val="21"/>
              </w:rPr>
            </w:pPr>
          </w:p>
          <w:p>
            <w:pPr>
              <w:pStyle w:val="45"/>
              <w:ind w:left="347"/>
              <w:rPr>
                <w:rFonts w:ascii="Times New Roman"/>
                <w:color w:val="auto"/>
                <w:sz w:val="21"/>
              </w:rPr>
            </w:pPr>
            <w:r>
              <w:rPr>
                <w:rFonts w:ascii="Times New Roman"/>
                <w:color w:val="auto"/>
                <w:sz w:val="21"/>
              </w:rPr>
              <w:t>10.4</w:t>
            </w:r>
          </w:p>
        </w:tc>
        <w:tc>
          <w:tcPr>
            <w:tcW w:w="1770" w:type="dxa"/>
          </w:tcPr>
          <w:p>
            <w:pPr>
              <w:pStyle w:val="45"/>
              <w:spacing w:before="1" w:line="242" w:lineRule="auto"/>
              <w:ind w:left="148" w:right="136"/>
              <w:jc w:val="both"/>
              <w:rPr>
                <w:color w:val="auto"/>
                <w:sz w:val="21"/>
              </w:rPr>
            </w:pPr>
            <w:r>
              <w:rPr>
                <w:color w:val="auto"/>
                <w:sz w:val="21"/>
              </w:rPr>
              <w:t>是否要求投标人在递交电子投标文件时，同时递交投标文件纸质</w:t>
            </w:r>
          </w:p>
          <w:p>
            <w:pPr>
              <w:pStyle w:val="45"/>
              <w:spacing w:before="2" w:line="250" w:lineRule="exact"/>
              <w:ind w:left="5"/>
              <w:jc w:val="center"/>
              <w:rPr>
                <w:color w:val="auto"/>
                <w:sz w:val="21"/>
              </w:rPr>
            </w:pPr>
            <w:r>
              <w:rPr>
                <w:color w:val="auto"/>
                <w:sz w:val="21"/>
              </w:rPr>
              <w:t>版</w:t>
            </w:r>
          </w:p>
        </w:tc>
        <w:tc>
          <w:tcPr>
            <w:tcW w:w="6098" w:type="dxa"/>
          </w:tcPr>
          <w:p>
            <w:pPr>
              <w:pStyle w:val="45"/>
              <w:rPr>
                <w:rFonts w:ascii="黑体"/>
                <w:color w:val="auto"/>
                <w:sz w:val="20"/>
              </w:rPr>
            </w:pPr>
          </w:p>
          <w:p>
            <w:pPr>
              <w:pStyle w:val="45"/>
              <w:spacing w:before="152"/>
              <w:ind w:right="85"/>
              <w:jc w:val="both"/>
              <w:rPr>
                <w:color w:val="auto"/>
                <w:sz w:val="21"/>
              </w:rPr>
            </w:pPr>
            <w:r>
              <w:rPr>
                <w:color w:val="auto"/>
                <w:sz w:val="21"/>
              </w:rPr>
              <w:t>是，投标人在递交电子投标文件时，同时递交投标文件纸质版</w:t>
            </w:r>
          </w:p>
          <w:p>
            <w:pPr>
              <w:pStyle w:val="45"/>
              <w:spacing w:before="5"/>
              <w:ind w:left="40" w:right="132"/>
              <w:jc w:val="center"/>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066" w:type="dxa"/>
          </w:tcPr>
          <w:p>
            <w:pPr>
              <w:pStyle w:val="45"/>
              <w:rPr>
                <w:rFonts w:ascii="黑体"/>
                <w:color w:val="auto"/>
              </w:rPr>
            </w:pPr>
          </w:p>
          <w:p>
            <w:pPr>
              <w:pStyle w:val="45"/>
              <w:rPr>
                <w:rFonts w:ascii="黑体"/>
                <w:color w:val="auto"/>
              </w:rPr>
            </w:pPr>
          </w:p>
          <w:p>
            <w:pPr>
              <w:pStyle w:val="45"/>
              <w:spacing w:before="10"/>
              <w:rPr>
                <w:rFonts w:ascii="黑体"/>
                <w:color w:val="auto"/>
                <w:sz w:val="16"/>
              </w:rPr>
            </w:pPr>
          </w:p>
          <w:p>
            <w:pPr>
              <w:pStyle w:val="45"/>
              <w:ind w:left="347"/>
              <w:rPr>
                <w:rFonts w:ascii="Times New Roman"/>
                <w:color w:val="auto"/>
                <w:sz w:val="21"/>
              </w:rPr>
            </w:pPr>
            <w:r>
              <w:rPr>
                <w:rFonts w:ascii="Times New Roman"/>
                <w:color w:val="auto"/>
                <w:sz w:val="21"/>
              </w:rPr>
              <w:t>10.5</w:t>
            </w:r>
          </w:p>
        </w:tc>
        <w:tc>
          <w:tcPr>
            <w:tcW w:w="1770" w:type="dxa"/>
          </w:tcPr>
          <w:p>
            <w:pPr>
              <w:pStyle w:val="45"/>
              <w:rPr>
                <w:rFonts w:ascii="黑体"/>
                <w:color w:val="auto"/>
                <w:sz w:val="20"/>
              </w:rPr>
            </w:pPr>
          </w:p>
          <w:p>
            <w:pPr>
              <w:pStyle w:val="45"/>
              <w:spacing w:before="7"/>
              <w:rPr>
                <w:rFonts w:ascii="黑体"/>
                <w:color w:val="auto"/>
                <w:sz w:val="29"/>
              </w:rPr>
            </w:pPr>
          </w:p>
          <w:p>
            <w:pPr>
              <w:pStyle w:val="45"/>
              <w:ind w:left="5"/>
              <w:jc w:val="center"/>
              <w:rPr>
                <w:color w:val="auto"/>
                <w:sz w:val="21"/>
              </w:rPr>
            </w:pPr>
            <w:r>
              <w:rPr>
                <w:color w:val="auto"/>
                <w:sz w:val="21"/>
              </w:rPr>
              <w:t>是否实行</w:t>
            </w:r>
          </w:p>
          <w:p>
            <w:pPr>
              <w:pStyle w:val="45"/>
              <w:spacing w:before="2"/>
              <w:ind w:left="9"/>
              <w:jc w:val="center"/>
              <w:rPr>
                <w:color w:val="auto"/>
                <w:sz w:val="21"/>
              </w:rPr>
            </w:pPr>
            <w:r>
              <w:rPr>
                <w:color w:val="auto"/>
                <w:sz w:val="21"/>
              </w:rPr>
              <w:t>计算机辅助评标</w:t>
            </w:r>
          </w:p>
        </w:tc>
        <w:tc>
          <w:tcPr>
            <w:tcW w:w="6098" w:type="dxa"/>
          </w:tcPr>
          <w:p>
            <w:pPr>
              <w:pStyle w:val="45"/>
              <w:spacing w:line="359" w:lineRule="exact"/>
              <w:ind w:left="646"/>
              <w:rPr>
                <w:color w:val="auto"/>
                <w:sz w:val="21"/>
              </w:rPr>
            </w:pPr>
            <w:r>
              <w:rPr>
                <w:rFonts w:ascii="Times New Roman" w:hAnsi="Times New Roman" w:eastAsia="Times New Roman"/>
                <w:color w:val="auto"/>
                <w:sz w:val="32"/>
              </w:rPr>
              <w:t>□</w:t>
            </w:r>
            <w:r>
              <w:rPr>
                <w:color w:val="auto"/>
                <w:sz w:val="21"/>
              </w:rPr>
              <w:t>否</w:t>
            </w:r>
          </w:p>
          <w:p>
            <w:pPr>
              <w:pStyle w:val="45"/>
              <w:spacing w:before="12"/>
              <w:ind w:left="3" w:firstLine="643"/>
              <w:rPr>
                <w:color w:val="auto"/>
                <w:sz w:val="21"/>
              </w:rPr>
            </w:pPr>
            <w:r>
              <w:rPr>
                <w:rFonts w:hint="eastAsia" w:ascii="MS Gothic" w:hAnsi="MS Gothic" w:eastAsia="MS Gothic"/>
                <w:color w:val="auto"/>
                <w:sz w:val="32"/>
              </w:rPr>
              <w:t>☑</w:t>
            </w:r>
            <w:r>
              <w:rPr>
                <w:color w:val="auto"/>
                <w:sz w:val="21"/>
              </w:rPr>
              <w:t xml:space="preserve">是，按投标人须知附件 </w:t>
            </w:r>
            <w:r>
              <w:rPr>
                <w:rFonts w:ascii="Times New Roman" w:hAnsi="Times New Roman" w:eastAsia="Times New Roman"/>
                <w:color w:val="auto"/>
                <w:sz w:val="21"/>
              </w:rPr>
              <w:t>2-1“</w:t>
            </w:r>
            <w:r>
              <w:rPr>
                <w:color w:val="auto"/>
                <w:sz w:val="21"/>
              </w:rPr>
              <w:t>电子投标文件编制及报送要</w:t>
            </w:r>
          </w:p>
          <w:p>
            <w:pPr>
              <w:pStyle w:val="45"/>
              <w:spacing w:before="70" w:line="410" w:lineRule="atLeast"/>
              <w:ind w:left="3" w:right="105"/>
              <w:rPr>
                <w:color w:val="auto"/>
                <w:sz w:val="21"/>
              </w:rPr>
            </w:pPr>
            <w:r>
              <w:rPr>
                <w:color w:val="auto"/>
                <w:sz w:val="21"/>
              </w:rPr>
              <w:t>求</w:t>
            </w:r>
            <w:r>
              <w:rPr>
                <w:rFonts w:ascii="Times New Roman" w:hAnsi="Times New Roman" w:eastAsia="Times New Roman"/>
                <w:color w:val="auto"/>
                <w:sz w:val="21"/>
              </w:rPr>
              <w:t>”</w:t>
            </w:r>
            <w:r>
              <w:rPr>
                <w:color w:val="auto"/>
                <w:sz w:val="21"/>
              </w:rPr>
              <w:t xml:space="preserve">编制及报送电子投标文件。计算机辅助评标方法见投标人须知附件 </w:t>
            </w:r>
            <w:r>
              <w:rPr>
                <w:rFonts w:ascii="Times New Roman" w:hAnsi="Times New Roman" w:eastAsia="Times New Roman"/>
                <w:color w:val="auto"/>
                <w:sz w:val="21"/>
              </w:rPr>
              <w:t>2-4</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066" w:type="dxa"/>
          </w:tcPr>
          <w:p>
            <w:pPr>
              <w:pStyle w:val="45"/>
              <w:rPr>
                <w:rFonts w:ascii="黑体"/>
                <w:color w:val="auto"/>
              </w:rPr>
            </w:pPr>
          </w:p>
          <w:p>
            <w:pPr>
              <w:pStyle w:val="45"/>
              <w:spacing w:before="2"/>
              <w:rPr>
                <w:rFonts w:ascii="黑体"/>
                <w:color w:val="auto"/>
                <w:sz w:val="29"/>
              </w:rPr>
            </w:pPr>
          </w:p>
          <w:p>
            <w:pPr>
              <w:pStyle w:val="45"/>
              <w:ind w:left="347"/>
              <w:rPr>
                <w:rFonts w:ascii="Times New Roman"/>
                <w:color w:val="auto"/>
                <w:sz w:val="21"/>
              </w:rPr>
            </w:pPr>
            <w:r>
              <w:rPr>
                <w:rFonts w:ascii="Times New Roman"/>
                <w:color w:val="auto"/>
                <w:sz w:val="21"/>
              </w:rPr>
              <w:t>10.6</w:t>
            </w:r>
          </w:p>
        </w:tc>
        <w:tc>
          <w:tcPr>
            <w:tcW w:w="1770" w:type="dxa"/>
          </w:tcPr>
          <w:p>
            <w:pPr>
              <w:pStyle w:val="45"/>
              <w:rPr>
                <w:rFonts w:ascii="黑体"/>
                <w:color w:val="auto"/>
                <w:sz w:val="20"/>
              </w:rPr>
            </w:pPr>
          </w:p>
          <w:p>
            <w:pPr>
              <w:pStyle w:val="45"/>
              <w:spacing w:before="12"/>
              <w:rPr>
                <w:rFonts w:ascii="黑体"/>
                <w:color w:val="auto"/>
                <w:sz w:val="19"/>
              </w:rPr>
            </w:pPr>
          </w:p>
          <w:p>
            <w:pPr>
              <w:pStyle w:val="45"/>
              <w:spacing w:line="244" w:lineRule="auto"/>
              <w:ind w:left="148" w:right="136"/>
              <w:rPr>
                <w:color w:val="auto"/>
                <w:sz w:val="21"/>
              </w:rPr>
            </w:pPr>
            <w:r>
              <w:rPr>
                <w:color w:val="auto"/>
                <w:sz w:val="21"/>
              </w:rPr>
              <w:t>是否要求投标人代表出席开标会</w:t>
            </w:r>
          </w:p>
        </w:tc>
        <w:tc>
          <w:tcPr>
            <w:tcW w:w="6098" w:type="dxa"/>
          </w:tcPr>
          <w:p>
            <w:pPr>
              <w:pStyle w:val="45"/>
              <w:spacing w:line="408" w:lineRule="exact"/>
              <w:ind w:left="646"/>
              <w:rPr>
                <w:color w:val="auto"/>
                <w:sz w:val="21"/>
              </w:rPr>
            </w:pPr>
            <w:r>
              <w:rPr>
                <w:rFonts w:hint="eastAsia" w:ascii="MS Gothic" w:hAnsi="MS Gothic" w:eastAsia="MS Gothic"/>
                <w:color w:val="auto"/>
                <w:sz w:val="32"/>
              </w:rPr>
              <w:t>☑</w:t>
            </w:r>
            <w:r>
              <w:rPr>
                <w:color w:val="auto"/>
                <w:sz w:val="21"/>
              </w:rPr>
              <w:t>不要求</w:t>
            </w:r>
          </w:p>
          <w:p>
            <w:pPr>
              <w:pStyle w:val="45"/>
              <w:spacing w:line="367" w:lineRule="exact"/>
              <w:ind w:left="646"/>
              <w:rPr>
                <w:color w:val="auto"/>
                <w:sz w:val="21"/>
              </w:rPr>
            </w:pPr>
            <w:r>
              <w:rPr>
                <w:rFonts w:ascii="Times New Roman" w:hAnsi="Times New Roman" w:eastAsia="Times New Roman"/>
                <w:color w:val="auto"/>
                <w:sz w:val="32"/>
              </w:rPr>
              <w:t>□</w:t>
            </w:r>
            <w:r>
              <w:rPr>
                <w:color w:val="auto"/>
                <w:spacing w:val="-11"/>
                <w:sz w:val="21"/>
              </w:rPr>
              <w:t>要求：投标人必须派委托代理人持授权委托书原件</w:t>
            </w:r>
            <w:r>
              <w:rPr>
                <w:color w:val="auto"/>
                <w:sz w:val="21"/>
              </w:rPr>
              <w:t>（格式</w:t>
            </w:r>
          </w:p>
          <w:p>
            <w:pPr>
              <w:pStyle w:val="45"/>
              <w:spacing w:before="8" w:line="242" w:lineRule="auto"/>
              <w:ind w:left="3" w:right="96"/>
              <w:rPr>
                <w:color w:val="auto"/>
                <w:sz w:val="21"/>
              </w:rPr>
            </w:pPr>
            <w:r>
              <w:rPr>
                <w:color w:val="auto"/>
                <w:sz w:val="21"/>
              </w:rPr>
              <w:t xml:space="preserve">详见第七章投标文件格式“3.授权委托书” ）及其身份证原件参加开标会议。 委托代理人必须是本招标项目的拟任项目经理。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66" w:type="dxa"/>
          </w:tcPr>
          <w:p>
            <w:pPr>
              <w:pStyle w:val="45"/>
              <w:spacing w:before="3"/>
              <w:rPr>
                <w:rFonts w:ascii="黑体"/>
                <w:color w:val="auto"/>
                <w:sz w:val="23"/>
              </w:rPr>
            </w:pPr>
          </w:p>
          <w:p>
            <w:pPr>
              <w:pStyle w:val="45"/>
              <w:ind w:left="347"/>
              <w:rPr>
                <w:rFonts w:ascii="Times New Roman"/>
                <w:color w:val="auto"/>
                <w:sz w:val="21"/>
              </w:rPr>
            </w:pPr>
            <w:r>
              <w:rPr>
                <w:rFonts w:ascii="Times New Roman"/>
                <w:color w:val="auto"/>
                <w:sz w:val="21"/>
              </w:rPr>
              <w:t>10.7</w:t>
            </w:r>
          </w:p>
        </w:tc>
        <w:tc>
          <w:tcPr>
            <w:tcW w:w="1770" w:type="dxa"/>
          </w:tcPr>
          <w:p>
            <w:pPr>
              <w:pStyle w:val="45"/>
              <w:spacing w:before="7"/>
              <w:rPr>
                <w:rFonts w:ascii="黑体"/>
                <w:color w:val="auto"/>
              </w:rPr>
            </w:pPr>
          </w:p>
          <w:p>
            <w:pPr>
              <w:pStyle w:val="45"/>
              <w:ind w:left="527"/>
              <w:rPr>
                <w:color w:val="auto"/>
                <w:sz w:val="21"/>
              </w:rPr>
            </w:pPr>
            <w:r>
              <w:rPr>
                <w:color w:val="auto"/>
                <w:sz w:val="21"/>
              </w:rPr>
              <w:t>中标公示</w:t>
            </w:r>
          </w:p>
        </w:tc>
        <w:tc>
          <w:tcPr>
            <w:tcW w:w="6098" w:type="dxa"/>
          </w:tcPr>
          <w:p>
            <w:pPr>
              <w:pStyle w:val="45"/>
              <w:spacing w:before="17"/>
              <w:ind w:right="194"/>
              <w:jc w:val="right"/>
              <w:rPr>
                <w:color w:val="auto"/>
                <w:sz w:val="21"/>
              </w:rPr>
            </w:pPr>
            <w:r>
              <w:rPr>
                <w:color w:val="auto"/>
                <w:sz w:val="21"/>
              </w:rPr>
              <w:t xml:space="preserve">招标人收到评标报告之日起 </w:t>
            </w:r>
            <w:r>
              <w:rPr>
                <w:rFonts w:ascii="Times New Roman" w:eastAsia="Times New Roman"/>
                <w:color w:val="auto"/>
                <w:sz w:val="21"/>
              </w:rPr>
              <w:t xml:space="preserve">3 </w:t>
            </w:r>
            <w:r>
              <w:rPr>
                <w:color w:val="auto"/>
                <w:sz w:val="21"/>
              </w:rPr>
              <w:t>日内，将中标候选人的情况在</w:t>
            </w:r>
          </w:p>
          <w:p>
            <w:pPr>
              <w:pStyle w:val="45"/>
              <w:spacing w:before="3"/>
              <w:ind w:right="249"/>
              <w:jc w:val="right"/>
              <w:rPr>
                <w:rFonts w:ascii="Times New Roman" w:eastAsia="Times New Roman"/>
                <w:color w:val="auto"/>
                <w:sz w:val="21"/>
              </w:rPr>
            </w:pPr>
            <w:r>
              <w:rPr>
                <w:color w:val="auto"/>
                <w:spacing w:val="-4"/>
                <w:sz w:val="21"/>
              </w:rPr>
              <w:t xml:space="preserve">本招标项目招标公告发布的同一媒介予以公示，公示期不少于 </w:t>
            </w:r>
            <w:r>
              <w:rPr>
                <w:rFonts w:ascii="Times New Roman" w:eastAsia="Times New Roman"/>
                <w:color w:val="auto"/>
                <w:sz w:val="21"/>
              </w:rPr>
              <w:t>3</w:t>
            </w:r>
          </w:p>
          <w:p>
            <w:pPr>
              <w:pStyle w:val="45"/>
              <w:spacing w:before="5" w:line="267" w:lineRule="exact"/>
              <w:ind w:left="3"/>
              <w:rPr>
                <w:color w:val="auto"/>
                <w:sz w:val="21"/>
              </w:rPr>
            </w:pPr>
            <w:r>
              <w:rPr>
                <w:color w:val="auto"/>
                <w:sz w:val="21"/>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066" w:type="dxa"/>
          </w:tcPr>
          <w:p>
            <w:pPr>
              <w:pStyle w:val="45"/>
              <w:rPr>
                <w:rFonts w:ascii="黑体"/>
                <w:color w:val="auto"/>
                <w:sz w:val="32"/>
              </w:rPr>
            </w:pPr>
          </w:p>
          <w:p>
            <w:pPr>
              <w:pStyle w:val="45"/>
              <w:spacing w:before="1"/>
              <w:ind w:left="347"/>
              <w:rPr>
                <w:rFonts w:ascii="Times New Roman"/>
                <w:color w:val="auto"/>
                <w:sz w:val="21"/>
              </w:rPr>
            </w:pPr>
            <w:r>
              <w:rPr>
                <w:rFonts w:ascii="Times New Roman"/>
                <w:color w:val="auto"/>
                <w:sz w:val="21"/>
              </w:rPr>
              <w:t>10.8</w:t>
            </w:r>
          </w:p>
        </w:tc>
        <w:tc>
          <w:tcPr>
            <w:tcW w:w="1770" w:type="dxa"/>
          </w:tcPr>
          <w:p>
            <w:pPr>
              <w:pStyle w:val="45"/>
              <w:rPr>
                <w:rFonts w:ascii="黑体"/>
                <w:color w:val="auto"/>
                <w:sz w:val="20"/>
              </w:rPr>
            </w:pPr>
          </w:p>
          <w:p>
            <w:pPr>
              <w:pStyle w:val="45"/>
              <w:spacing w:before="145"/>
              <w:ind w:left="462"/>
              <w:rPr>
                <w:color w:val="auto"/>
                <w:sz w:val="21"/>
              </w:rPr>
            </w:pPr>
            <w:r>
              <w:rPr>
                <w:color w:val="auto"/>
                <w:sz w:val="21"/>
              </w:rPr>
              <w:t>知识产权</w:t>
            </w:r>
          </w:p>
        </w:tc>
        <w:tc>
          <w:tcPr>
            <w:tcW w:w="6098" w:type="dxa"/>
          </w:tcPr>
          <w:p>
            <w:pPr>
              <w:pStyle w:val="45"/>
              <w:spacing w:before="130" w:line="242" w:lineRule="auto"/>
              <w:ind w:left="3" w:right="194" w:firstLine="422"/>
              <w:jc w:val="both"/>
              <w:rPr>
                <w:color w:val="auto"/>
                <w:sz w:val="21"/>
              </w:rPr>
            </w:pPr>
            <w:r>
              <w:rPr>
                <w:color w:val="auto"/>
                <w:sz w:val="21"/>
              </w:rPr>
              <w:t>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66" w:type="dxa"/>
          </w:tcPr>
          <w:p>
            <w:pPr>
              <w:pStyle w:val="45"/>
              <w:spacing w:before="9"/>
              <w:rPr>
                <w:rFonts w:ascii="黑体"/>
                <w:color w:val="auto"/>
                <w:sz w:val="28"/>
              </w:rPr>
            </w:pPr>
          </w:p>
          <w:p>
            <w:pPr>
              <w:pStyle w:val="45"/>
              <w:ind w:left="295"/>
              <w:rPr>
                <w:rFonts w:ascii="Times New Roman"/>
                <w:color w:val="auto"/>
                <w:sz w:val="21"/>
              </w:rPr>
            </w:pPr>
            <w:r>
              <w:rPr>
                <w:rFonts w:ascii="Times New Roman"/>
                <w:color w:val="auto"/>
                <w:sz w:val="21"/>
              </w:rPr>
              <w:t>10.10</w:t>
            </w:r>
          </w:p>
        </w:tc>
        <w:tc>
          <w:tcPr>
            <w:tcW w:w="1770" w:type="dxa"/>
          </w:tcPr>
          <w:p>
            <w:pPr>
              <w:pStyle w:val="45"/>
              <w:spacing w:before="2"/>
              <w:rPr>
                <w:rFonts w:ascii="黑体"/>
                <w:color w:val="auto"/>
                <w:sz w:val="28"/>
              </w:rPr>
            </w:pPr>
          </w:p>
          <w:p>
            <w:pPr>
              <w:pStyle w:val="45"/>
              <w:ind w:left="462"/>
              <w:rPr>
                <w:color w:val="auto"/>
                <w:sz w:val="21"/>
              </w:rPr>
            </w:pPr>
            <w:r>
              <w:rPr>
                <w:color w:val="auto"/>
                <w:sz w:val="21"/>
              </w:rPr>
              <w:t>同义词语</w:t>
            </w:r>
          </w:p>
        </w:tc>
        <w:tc>
          <w:tcPr>
            <w:tcW w:w="6098" w:type="dxa"/>
          </w:tcPr>
          <w:p>
            <w:pPr>
              <w:pStyle w:val="45"/>
              <w:spacing w:before="87" w:line="242" w:lineRule="auto"/>
              <w:ind w:left="3" w:right="33" w:firstLine="422"/>
              <w:jc w:val="both"/>
              <w:rPr>
                <w:color w:val="auto"/>
                <w:sz w:val="21"/>
              </w:rPr>
            </w:pPr>
            <w:r>
              <w:rPr>
                <w:color w:val="auto"/>
                <w:sz w:val="21"/>
              </w:rPr>
              <w:t>构成招标文件组成部分的</w:t>
            </w:r>
            <w:r>
              <w:rPr>
                <w:rFonts w:ascii="Times New Roman" w:hAnsi="Times New Roman" w:eastAsia="Times New Roman"/>
                <w:color w:val="auto"/>
                <w:sz w:val="21"/>
              </w:rPr>
              <w:t>“</w:t>
            </w:r>
            <w:r>
              <w:rPr>
                <w:color w:val="auto"/>
                <w:sz w:val="21"/>
              </w:rPr>
              <w:t>通用合同条款</w:t>
            </w:r>
            <w:r>
              <w:rPr>
                <w:rFonts w:ascii="Times New Roman" w:hAnsi="Times New Roman" w:eastAsia="Times New Roman"/>
                <w:color w:val="auto"/>
                <w:sz w:val="21"/>
              </w:rPr>
              <w:t>”</w:t>
            </w:r>
            <w:r>
              <w:rPr>
                <w:color w:val="auto"/>
                <w:sz w:val="21"/>
              </w:rPr>
              <w:t>、</w:t>
            </w:r>
            <w:r>
              <w:rPr>
                <w:rFonts w:ascii="Times New Roman" w:hAnsi="Times New Roman" w:eastAsia="Times New Roman"/>
                <w:color w:val="auto"/>
                <w:sz w:val="21"/>
              </w:rPr>
              <w:t>“</w:t>
            </w:r>
            <w:r>
              <w:rPr>
                <w:color w:val="auto"/>
                <w:sz w:val="21"/>
              </w:rPr>
              <w:t>专用合同条款</w:t>
            </w:r>
            <w:r>
              <w:rPr>
                <w:rFonts w:ascii="Times New Roman" w:hAnsi="Times New Roman" w:eastAsia="Times New Roman"/>
                <w:color w:val="auto"/>
                <w:sz w:val="21"/>
              </w:rPr>
              <w:t>”</w:t>
            </w:r>
            <w:r>
              <w:rPr>
                <w:color w:val="auto"/>
                <w:sz w:val="21"/>
              </w:rPr>
              <w:t>、</w:t>
            </w:r>
            <w:r>
              <w:rPr>
                <w:rFonts w:ascii="Times New Roman" w:hAnsi="Times New Roman" w:eastAsia="Times New Roman"/>
                <w:color w:val="auto"/>
                <w:sz w:val="21"/>
              </w:rPr>
              <w:t>“</w:t>
            </w:r>
            <w:r>
              <w:rPr>
                <w:color w:val="auto"/>
                <w:sz w:val="21"/>
              </w:rPr>
              <w:t>技术标准和要求</w:t>
            </w:r>
            <w:r>
              <w:rPr>
                <w:rFonts w:ascii="Times New Roman" w:hAnsi="Times New Roman" w:eastAsia="Times New Roman"/>
                <w:color w:val="auto"/>
                <w:sz w:val="21"/>
              </w:rPr>
              <w:t>”</w:t>
            </w:r>
            <w:r>
              <w:rPr>
                <w:color w:val="auto"/>
                <w:sz w:val="21"/>
              </w:rPr>
              <w:t>等章节中出现的措辞</w:t>
            </w:r>
            <w:r>
              <w:rPr>
                <w:rFonts w:ascii="Times New Roman" w:hAnsi="Times New Roman" w:eastAsia="Times New Roman"/>
                <w:color w:val="auto"/>
                <w:sz w:val="21"/>
              </w:rPr>
              <w:t>“</w:t>
            </w:r>
            <w:r>
              <w:rPr>
                <w:color w:val="auto"/>
                <w:sz w:val="21"/>
              </w:rPr>
              <w:t>发包人</w:t>
            </w:r>
            <w:r>
              <w:rPr>
                <w:rFonts w:ascii="Times New Roman" w:hAnsi="Times New Roman" w:eastAsia="Times New Roman"/>
                <w:color w:val="auto"/>
                <w:sz w:val="21"/>
              </w:rPr>
              <w:t>”</w:t>
            </w:r>
            <w:r>
              <w:rPr>
                <w:color w:val="auto"/>
                <w:sz w:val="21"/>
              </w:rPr>
              <w:t>和</w:t>
            </w:r>
            <w:r>
              <w:rPr>
                <w:rFonts w:ascii="Times New Roman" w:hAnsi="Times New Roman" w:eastAsia="Times New Roman"/>
                <w:color w:val="auto"/>
                <w:sz w:val="21"/>
              </w:rPr>
              <w:t>“</w:t>
            </w:r>
            <w:r>
              <w:rPr>
                <w:color w:val="auto"/>
                <w:sz w:val="21"/>
              </w:rPr>
              <w:t>承包人</w:t>
            </w:r>
            <w:r>
              <w:rPr>
                <w:rFonts w:ascii="Times New Roman" w:hAnsi="Times New Roman" w:eastAsia="Times New Roman"/>
                <w:color w:val="auto"/>
                <w:sz w:val="21"/>
              </w:rPr>
              <w:t>”</w:t>
            </w:r>
            <w:r>
              <w:rPr>
                <w:color w:val="auto"/>
                <w:sz w:val="21"/>
              </w:rPr>
              <w:t>，在招标投标阶段应当分别按</w:t>
            </w:r>
            <w:r>
              <w:rPr>
                <w:rFonts w:ascii="Times New Roman" w:hAnsi="Times New Roman" w:eastAsia="Times New Roman"/>
                <w:color w:val="auto"/>
                <w:sz w:val="21"/>
              </w:rPr>
              <w:t>“</w:t>
            </w:r>
            <w:r>
              <w:rPr>
                <w:color w:val="auto"/>
                <w:sz w:val="21"/>
              </w:rPr>
              <w:t>招标人</w:t>
            </w:r>
            <w:r>
              <w:rPr>
                <w:rFonts w:ascii="Times New Roman" w:hAnsi="Times New Roman" w:eastAsia="Times New Roman"/>
                <w:color w:val="auto"/>
                <w:sz w:val="21"/>
              </w:rPr>
              <w:t>”</w:t>
            </w:r>
            <w:r>
              <w:rPr>
                <w:color w:val="auto"/>
                <w:sz w:val="21"/>
              </w:rPr>
              <w:t>和</w:t>
            </w:r>
            <w:r>
              <w:rPr>
                <w:rFonts w:ascii="Times New Roman" w:hAnsi="Times New Roman" w:eastAsia="Times New Roman"/>
                <w:color w:val="auto"/>
                <w:sz w:val="21"/>
              </w:rPr>
              <w:t>“</w:t>
            </w:r>
            <w:r>
              <w:rPr>
                <w:color w:val="auto"/>
                <w:sz w:val="21"/>
              </w:rPr>
              <w:t>投标人</w:t>
            </w:r>
            <w:r>
              <w:rPr>
                <w:rFonts w:ascii="Times New Roman" w:hAnsi="Times New Roman" w:eastAsia="Times New Roman"/>
                <w:color w:val="auto"/>
                <w:sz w:val="21"/>
              </w:rPr>
              <w:t>”</w:t>
            </w:r>
            <w:r>
              <w:rPr>
                <w:color w:val="auto"/>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066" w:type="dxa"/>
          </w:tcPr>
          <w:p>
            <w:pPr>
              <w:pStyle w:val="45"/>
              <w:spacing w:before="1"/>
              <w:rPr>
                <w:rFonts w:ascii="黑体"/>
                <w:color w:val="auto"/>
                <w:sz w:val="20"/>
              </w:rPr>
            </w:pPr>
          </w:p>
          <w:p>
            <w:pPr>
              <w:pStyle w:val="45"/>
              <w:ind w:left="299"/>
              <w:rPr>
                <w:rFonts w:ascii="Times New Roman"/>
                <w:color w:val="auto"/>
                <w:sz w:val="21"/>
              </w:rPr>
            </w:pPr>
            <w:r>
              <w:rPr>
                <w:rFonts w:ascii="Times New Roman"/>
                <w:color w:val="auto"/>
                <w:sz w:val="21"/>
              </w:rPr>
              <w:t>10.11</w:t>
            </w:r>
          </w:p>
        </w:tc>
        <w:tc>
          <w:tcPr>
            <w:tcW w:w="1770" w:type="dxa"/>
          </w:tcPr>
          <w:p>
            <w:pPr>
              <w:pStyle w:val="45"/>
              <w:spacing w:before="4"/>
              <w:rPr>
                <w:rFonts w:ascii="黑体"/>
                <w:color w:val="auto"/>
                <w:sz w:val="19"/>
              </w:rPr>
            </w:pPr>
          </w:p>
          <w:p>
            <w:pPr>
              <w:pStyle w:val="45"/>
              <w:tabs>
                <w:tab w:val="left" w:pos="949"/>
              </w:tabs>
              <w:ind w:left="527"/>
              <w:rPr>
                <w:color w:val="auto"/>
                <w:sz w:val="21"/>
              </w:rPr>
            </w:pPr>
            <w:r>
              <w:rPr>
                <w:color w:val="auto"/>
                <w:sz w:val="21"/>
              </w:rPr>
              <w:t>监</w:t>
            </w:r>
            <w:r>
              <w:rPr>
                <w:color w:val="auto"/>
                <w:sz w:val="21"/>
              </w:rPr>
              <w:tab/>
            </w:r>
            <w:r>
              <w:rPr>
                <w:color w:val="auto"/>
                <w:sz w:val="21"/>
              </w:rPr>
              <w:t>督</w:t>
            </w:r>
          </w:p>
        </w:tc>
        <w:tc>
          <w:tcPr>
            <w:tcW w:w="6098" w:type="dxa"/>
          </w:tcPr>
          <w:p>
            <w:pPr>
              <w:pStyle w:val="45"/>
              <w:spacing w:before="111" w:line="244" w:lineRule="auto"/>
              <w:ind w:left="3" w:right="194" w:firstLine="422"/>
              <w:rPr>
                <w:color w:val="auto"/>
                <w:sz w:val="21"/>
              </w:rPr>
            </w:pPr>
            <w:r>
              <w:rPr>
                <w:rFonts w:hint="eastAsia"/>
                <w:color w:val="auto"/>
                <w:sz w:val="21"/>
              </w:rPr>
              <w:t>本项目的招标投标活动及其相关当事人应当接受有管辖权的建设工程招标投标行政监督部门依法实施的监督，本次招标项目招投投标监督机构为岳阳市建设工程招标投标管理办公室，电话：0730-8216835。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066" w:type="dxa"/>
          </w:tcPr>
          <w:p>
            <w:pPr>
              <w:pStyle w:val="45"/>
              <w:rPr>
                <w:rFonts w:ascii="黑体"/>
                <w:color w:val="auto"/>
              </w:rPr>
            </w:pPr>
          </w:p>
          <w:p>
            <w:pPr>
              <w:pStyle w:val="45"/>
              <w:rPr>
                <w:rFonts w:ascii="黑体"/>
                <w:color w:val="auto"/>
              </w:rPr>
            </w:pPr>
          </w:p>
          <w:p>
            <w:pPr>
              <w:pStyle w:val="45"/>
              <w:rPr>
                <w:rFonts w:ascii="黑体"/>
                <w:color w:val="auto"/>
              </w:rPr>
            </w:pPr>
          </w:p>
          <w:p>
            <w:pPr>
              <w:pStyle w:val="45"/>
              <w:spacing w:before="5"/>
              <w:rPr>
                <w:rFonts w:ascii="黑体"/>
                <w:color w:val="auto"/>
                <w:sz w:val="29"/>
              </w:rPr>
            </w:pPr>
          </w:p>
          <w:p>
            <w:pPr>
              <w:pStyle w:val="45"/>
              <w:ind w:left="213"/>
              <w:rPr>
                <w:rFonts w:ascii="Times New Roman"/>
                <w:color w:val="auto"/>
                <w:sz w:val="21"/>
              </w:rPr>
            </w:pPr>
            <w:r>
              <w:rPr>
                <w:rFonts w:ascii="Times New Roman"/>
                <w:color w:val="auto"/>
                <w:sz w:val="21"/>
              </w:rPr>
              <w:t>10.1.2</w:t>
            </w:r>
          </w:p>
        </w:tc>
        <w:tc>
          <w:tcPr>
            <w:tcW w:w="1770" w:type="dxa"/>
          </w:tcPr>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rPr>
                <w:rFonts w:ascii="黑体"/>
                <w:color w:val="auto"/>
                <w:sz w:val="20"/>
              </w:rPr>
            </w:pPr>
          </w:p>
          <w:p>
            <w:pPr>
              <w:pStyle w:val="45"/>
              <w:spacing w:before="11"/>
              <w:rPr>
                <w:rFonts w:ascii="黑体"/>
                <w:color w:val="auto"/>
                <w:sz w:val="14"/>
              </w:rPr>
            </w:pPr>
          </w:p>
          <w:p>
            <w:pPr>
              <w:pStyle w:val="45"/>
              <w:ind w:left="568"/>
              <w:rPr>
                <w:color w:val="auto"/>
                <w:sz w:val="21"/>
              </w:rPr>
            </w:pPr>
            <w:r>
              <w:rPr>
                <w:color w:val="auto"/>
                <w:sz w:val="21"/>
              </w:rPr>
              <w:t>解释权</w:t>
            </w:r>
          </w:p>
        </w:tc>
        <w:tc>
          <w:tcPr>
            <w:tcW w:w="6098" w:type="dxa"/>
          </w:tcPr>
          <w:p>
            <w:pPr>
              <w:pStyle w:val="45"/>
              <w:spacing w:before="126" w:line="242" w:lineRule="auto"/>
              <w:ind w:left="106" w:right="93" w:firstLine="422"/>
              <w:jc w:val="both"/>
              <w:rPr>
                <w:color w:val="auto"/>
                <w:sz w:val="21"/>
              </w:rPr>
            </w:pPr>
            <w:r>
              <w:rPr>
                <w:color w:val="auto"/>
                <w:sz w:val="21"/>
              </w:rPr>
              <w:t>构成本招标文件的各个组成文件应互为解释，互为说明；如有不明确或不一致，构成合同文件组成内容，以合同文件约定内容为准，且以专用合同条款约定的合同文件优先顺序解释；除招标文件中有特别规定外，在招标、投标、评标阶段，按招标公告</w:t>
            </w:r>
          </w:p>
          <w:p>
            <w:pPr>
              <w:pStyle w:val="45"/>
              <w:spacing w:before="3" w:line="242" w:lineRule="auto"/>
              <w:ind w:left="106" w:right="93"/>
              <w:jc w:val="both"/>
              <w:rPr>
                <w:color w:val="auto"/>
                <w:sz w:val="21"/>
              </w:rPr>
            </w:pPr>
            <w:r>
              <w:rPr>
                <w:color w:val="auto"/>
                <w:sz w:val="21"/>
              </w:rPr>
              <w:t>（投标邀请书）、投标人须知、评标办法、投标文件格式、补充通知中，同一事项的规定或约定不一致的，以在招标文件中的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934" w:type="dxa"/>
            <w:gridSpan w:val="3"/>
          </w:tcPr>
          <w:p>
            <w:pPr>
              <w:pStyle w:val="45"/>
              <w:spacing w:before="171"/>
              <w:ind w:left="107"/>
              <w:rPr>
                <w:color w:val="auto"/>
                <w:sz w:val="21"/>
              </w:rPr>
            </w:pPr>
            <w:r>
              <w:rPr>
                <w:rFonts w:ascii="Times New Roman" w:eastAsia="Times New Roman"/>
                <w:color w:val="auto"/>
                <w:sz w:val="21"/>
              </w:rPr>
              <w:t xml:space="preserve">10.13 </w:t>
            </w:r>
            <w:r>
              <w:rPr>
                <w:color w:val="auto"/>
                <w:sz w:val="21"/>
              </w:rPr>
              <w:t>其他补充内容</w:t>
            </w:r>
          </w:p>
        </w:tc>
      </w:tr>
    </w:tbl>
    <w:p>
      <w:pPr>
        <w:rPr>
          <w:color w:val="auto"/>
          <w:sz w:val="21"/>
        </w:rPr>
        <w:sectPr>
          <w:pgSz w:w="11910" w:h="16850"/>
          <w:pgMar w:top="1520" w:right="1200" w:bottom="980" w:left="1180" w:header="0" w:footer="800" w:gutter="0"/>
          <w:cols w:space="720" w:num="1"/>
        </w:sectPr>
      </w:pPr>
    </w:p>
    <w:tbl>
      <w:tblPr>
        <w:tblStyle w:val="34"/>
        <w:tblW w:w="89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770"/>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66" w:type="dxa"/>
          </w:tcPr>
          <w:p>
            <w:pPr>
              <w:pStyle w:val="45"/>
              <w:spacing w:before="100"/>
              <w:ind w:left="215"/>
              <w:rPr>
                <w:color w:val="auto"/>
                <w:sz w:val="21"/>
              </w:rPr>
            </w:pPr>
            <w:r>
              <w:rPr>
                <w:color w:val="auto"/>
                <w:sz w:val="21"/>
              </w:rPr>
              <w:t>条款号</w:t>
            </w:r>
          </w:p>
        </w:tc>
        <w:tc>
          <w:tcPr>
            <w:tcW w:w="1770" w:type="dxa"/>
          </w:tcPr>
          <w:p>
            <w:pPr>
              <w:pStyle w:val="45"/>
              <w:spacing w:before="100"/>
              <w:ind w:left="462"/>
              <w:rPr>
                <w:color w:val="auto"/>
                <w:sz w:val="21"/>
              </w:rPr>
            </w:pPr>
            <w:r>
              <w:rPr>
                <w:color w:val="auto"/>
                <w:sz w:val="21"/>
              </w:rPr>
              <w:t>条款名称</w:t>
            </w:r>
          </w:p>
        </w:tc>
        <w:tc>
          <w:tcPr>
            <w:tcW w:w="6098" w:type="dxa"/>
          </w:tcPr>
          <w:p>
            <w:pPr>
              <w:pStyle w:val="45"/>
              <w:spacing w:before="100"/>
              <w:ind w:left="408" w:right="83"/>
              <w:jc w:val="center"/>
              <w:rPr>
                <w:color w:val="auto"/>
                <w:sz w:val="21"/>
              </w:rPr>
            </w:pPr>
            <w:r>
              <w:rPr>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66" w:type="dxa"/>
          </w:tcPr>
          <w:p>
            <w:pPr>
              <w:pStyle w:val="45"/>
              <w:spacing w:before="6"/>
              <w:rPr>
                <w:rFonts w:ascii="黑体"/>
                <w:color w:val="auto"/>
              </w:rPr>
            </w:pPr>
          </w:p>
          <w:p>
            <w:pPr>
              <w:pStyle w:val="45"/>
              <w:ind w:left="107"/>
              <w:rPr>
                <w:rFonts w:ascii="Times New Roman"/>
                <w:color w:val="auto"/>
                <w:sz w:val="21"/>
              </w:rPr>
            </w:pPr>
            <w:r>
              <w:rPr>
                <w:rFonts w:ascii="Times New Roman"/>
                <w:color w:val="auto"/>
                <w:sz w:val="21"/>
              </w:rPr>
              <w:t>10.13.1</w:t>
            </w:r>
          </w:p>
        </w:tc>
        <w:tc>
          <w:tcPr>
            <w:tcW w:w="7868" w:type="dxa"/>
            <w:gridSpan w:val="2"/>
          </w:tcPr>
          <w:p>
            <w:pPr>
              <w:pStyle w:val="45"/>
              <w:spacing w:before="145" w:line="244" w:lineRule="auto"/>
              <w:ind w:left="107" w:right="102" w:firstLine="420"/>
              <w:rPr>
                <w:color w:val="auto"/>
                <w:sz w:val="21"/>
              </w:rPr>
            </w:pPr>
            <w:r>
              <w:rPr>
                <w:color w:val="auto"/>
                <w:sz w:val="21"/>
              </w:rPr>
              <w:t>以暂估价形式包括在总承包范围内的工程、货物、服务属于依法必须进行招标的项目范围且达到国家规定规模标准的，应当依法进行招标。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66" w:type="dxa"/>
          </w:tcPr>
          <w:p>
            <w:pPr>
              <w:pStyle w:val="45"/>
              <w:spacing w:before="4"/>
              <w:rPr>
                <w:rFonts w:ascii="黑体"/>
                <w:color w:val="auto"/>
                <w:sz w:val="19"/>
              </w:rPr>
            </w:pPr>
          </w:p>
          <w:p>
            <w:pPr>
              <w:pStyle w:val="45"/>
              <w:ind w:left="107"/>
              <w:rPr>
                <w:rFonts w:ascii="Times New Roman"/>
                <w:color w:val="auto"/>
                <w:sz w:val="21"/>
              </w:rPr>
            </w:pPr>
            <w:r>
              <w:rPr>
                <w:rFonts w:ascii="Times New Roman"/>
                <w:color w:val="auto"/>
                <w:sz w:val="21"/>
              </w:rPr>
              <w:t>10.13.3</w:t>
            </w:r>
          </w:p>
        </w:tc>
        <w:tc>
          <w:tcPr>
            <w:tcW w:w="7868" w:type="dxa"/>
            <w:gridSpan w:val="2"/>
          </w:tcPr>
          <w:p>
            <w:pPr>
              <w:pStyle w:val="45"/>
              <w:spacing w:before="10"/>
              <w:rPr>
                <w:rFonts w:ascii="黑体"/>
                <w:color w:val="auto"/>
                <w:sz w:val="18"/>
              </w:rPr>
            </w:pPr>
          </w:p>
          <w:p>
            <w:pPr>
              <w:pStyle w:val="45"/>
              <w:ind w:left="107"/>
              <w:rPr>
                <w:color w:val="auto"/>
                <w:sz w:val="21"/>
              </w:rPr>
            </w:pPr>
            <w:r>
              <w:rPr>
                <w:color w:val="auto"/>
                <w:sz w:val="21"/>
              </w:rPr>
              <w:t>本招标文件要求的复印件是指复印件或扫描件或影印件。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6" w:hRule="atLeast"/>
        </w:trPr>
        <w:tc>
          <w:tcPr>
            <w:tcW w:w="1066" w:type="dxa"/>
          </w:tcPr>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rPr>
                <w:rFonts w:ascii="黑体"/>
                <w:color w:val="auto"/>
              </w:rPr>
            </w:pPr>
          </w:p>
          <w:p>
            <w:pPr>
              <w:pStyle w:val="45"/>
              <w:spacing w:before="7"/>
              <w:rPr>
                <w:rFonts w:ascii="黑体"/>
                <w:color w:val="auto"/>
                <w:sz w:val="26"/>
              </w:rPr>
            </w:pPr>
          </w:p>
          <w:p>
            <w:pPr>
              <w:pStyle w:val="45"/>
              <w:ind w:left="107"/>
              <w:rPr>
                <w:rFonts w:ascii="Times New Roman"/>
                <w:color w:val="auto"/>
                <w:sz w:val="21"/>
              </w:rPr>
            </w:pPr>
            <w:r>
              <w:rPr>
                <w:rFonts w:ascii="Times New Roman"/>
                <w:color w:val="auto"/>
                <w:sz w:val="21"/>
              </w:rPr>
              <w:t>10.13.4</w:t>
            </w:r>
          </w:p>
        </w:tc>
        <w:tc>
          <w:tcPr>
            <w:tcW w:w="7868" w:type="dxa"/>
            <w:gridSpan w:val="2"/>
          </w:tcPr>
          <w:p>
            <w:pPr>
              <w:pStyle w:val="45"/>
              <w:numPr>
                <w:ilvl w:val="0"/>
                <w:numId w:val="2"/>
              </w:numPr>
              <w:tabs>
                <w:tab w:val="left" w:pos="848"/>
              </w:tabs>
              <w:spacing w:before="1" w:line="242" w:lineRule="auto"/>
              <w:ind w:right="93" w:firstLine="211"/>
              <w:rPr>
                <w:color w:val="auto"/>
                <w:sz w:val="21"/>
              </w:rPr>
            </w:pPr>
            <w:r>
              <w:rPr>
                <w:color w:val="auto"/>
                <w:spacing w:val="-4"/>
                <w:sz w:val="21"/>
              </w:rPr>
              <w:t>招标人和中标人在中标通知书发出之前，中标人须向岳阳市公共资源交易中</w:t>
            </w:r>
            <w:r>
              <w:rPr>
                <w:color w:val="auto"/>
                <w:spacing w:val="-3"/>
                <w:sz w:val="21"/>
              </w:rPr>
              <w:t>心交纳交易服务费，收费标准按湘发改价费〔</w:t>
            </w:r>
            <w:r>
              <w:rPr>
                <w:rFonts w:ascii="Times New Roman" w:eastAsia="Times New Roman"/>
                <w:color w:val="auto"/>
                <w:sz w:val="21"/>
              </w:rPr>
              <w:t>2019</w:t>
            </w:r>
            <w:r>
              <w:rPr>
                <w:color w:val="auto"/>
                <w:sz w:val="21"/>
              </w:rPr>
              <w:t>〕</w:t>
            </w:r>
            <w:r>
              <w:rPr>
                <w:rFonts w:ascii="Times New Roman" w:eastAsia="Times New Roman"/>
                <w:color w:val="auto"/>
                <w:sz w:val="21"/>
              </w:rPr>
              <w:t>366</w:t>
            </w:r>
            <w:r>
              <w:rPr>
                <w:rFonts w:ascii="Times New Roman" w:eastAsia="Times New Roman"/>
                <w:color w:val="auto"/>
                <w:spacing w:val="-2"/>
                <w:sz w:val="21"/>
              </w:rPr>
              <w:t xml:space="preserve"> </w:t>
            </w:r>
            <w:r>
              <w:rPr>
                <w:color w:val="auto"/>
                <w:spacing w:val="-3"/>
                <w:sz w:val="21"/>
              </w:rPr>
              <w:t>号文件规定。</w:t>
            </w:r>
          </w:p>
          <w:p>
            <w:pPr>
              <w:pStyle w:val="45"/>
              <w:numPr>
                <w:ilvl w:val="0"/>
                <w:numId w:val="2"/>
              </w:numPr>
              <w:tabs>
                <w:tab w:val="left" w:pos="848"/>
              </w:tabs>
              <w:spacing w:before="2"/>
              <w:ind w:left="847" w:hanging="530"/>
              <w:rPr>
                <w:color w:val="auto"/>
                <w:sz w:val="21"/>
              </w:rPr>
            </w:pPr>
            <w:r>
              <w:rPr>
                <w:color w:val="auto"/>
                <w:spacing w:val="-5"/>
                <w:sz w:val="21"/>
              </w:rPr>
              <w:t>本项目招标代理服务费约定由</w:t>
            </w:r>
            <w:r>
              <w:rPr>
                <w:rFonts w:hint="eastAsia"/>
                <w:color w:val="auto"/>
                <w:spacing w:val="-5"/>
                <w:sz w:val="21"/>
                <w:lang w:eastAsia="zh-CN"/>
              </w:rPr>
              <w:t>中标人按</w:t>
            </w:r>
            <w:r>
              <w:rPr>
                <w:rFonts w:hint="eastAsia"/>
                <w:color w:val="auto"/>
                <w:spacing w:val="-5"/>
                <w:sz w:val="21"/>
                <w:lang w:val="zh-CN" w:eastAsia="zh-CN"/>
              </w:rPr>
              <w:t>计价格[2002]1980号文</w:t>
            </w:r>
            <w:r>
              <w:rPr>
                <w:color w:val="auto"/>
                <w:spacing w:val="-5"/>
                <w:sz w:val="21"/>
              </w:rPr>
              <w:t>支付</w:t>
            </w:r>
            <w:r>
              <w:rPr>
                <w:color w:val="auto"/>
                <w:spacing w:val="-2"/>
                <w:sz w:val="21"/>
              </w:rPr>
              <w:t>。</w:t>
            </w:r>
          </w:p>
          <w:p>
            <w:pPr>
              <w:pStyle w:val="45"/>
              <w:numPr>
                <w:ilvl w:val="0"/>
                <w:numId w:val="2"/>
              </w:numPr>
              <w:tabs>
                <w:tab w:val="left" w:pos="848"/>
              </w:tabs>
              <w:spacing w:before="2"/>
              <w:ind w:left="847" w:hanging="530"/>
              <w:rPr>
                <w:color w:val="auto"/>
                <w:sz w:val="21"/>
              </w:rPr>
            </w:pPr>
            <w:r>
              <w:rPr>
                <w:color w:val="auto"/>
                <w:spacing w:val="-3"/>
                <w:sz w:val="21"/>
              </w:rPr>
              <w:t>招标代理服务费的支付方式及支付时间：领取中标通知书前一次性支付。</w:t>
            </w:r>
          </w:p>
          <w:p>
            <w:pPr>
              <w:pStyle w:val="45"/>
              <w:numPr>
                <w:ilvl w:val="0"/>
                <w:numId w:val="2"/>
              </w:numPr>
              <w:tabs>
                <w:tab w:val="left" w:pos="848"/>
              </w:tabs>
              <w:spacing w:before="4" w:line="242" w:lineRule="auto"/>
              <w:ind w:right="94" w:firstLine="211"/>
              <w:jc w:val="both"/>
              <w:rPr>
                <w:color w:val="auto"/>
                <w:sz w:val="21"/>
              </w:rPr>
            </w:pPr>
            <w:r>
              <w:rPr>
                <w:color w:val="auto"/>
                <w:spacing w:val="-5"/>
                <w:sz w:val="21"/>
              </w:rPr>
              <w:t>中标通知书发出以前，中标候选人及其拟任项目总负责人、技术负责人，设计负责人的情况发生变化，致使其达不到合格投标人资格条件的，取消其中标候选</w:t>
            </w:r>
            <w:r>
              <w:rPr>
                <w:color w:val="auto"/>
                <w:spacing w:val="-4"/>
                <w:sz w:val="21"/>
              </w:rPr>
              <w:t>人资格；</w:t>
            </w:r>
          </w:p>
          <w:p>
            <w:pPr>
              <w:pStyle w:val="45"/>
              <w:numPr>
                <w:ilvl w:val="0"/>
                <w:numId w:val="2"/>
              </w:numPr>
              <w:tabs>
                <w:tab w:val="left" w:pos="848"/>
              </w:tabs>
              <w:spacing w:before="1" w:line="242" w:lineRule="auto"/>
              <w:ind w:right="96" w:firstLine="211"/>
              <w:jc w:val="both"/>
              <w:rPr>
                <w:color w:val="auto"/>
                <w:sz w:val="21"/>
              </w:rPr>
            </w:pPr>
            <w:r>
              <w:rPr>
                <w:color w:val="auto"/>
                <w:spacing w:val="-5"/>
                <w:sz w:val="21"/>
              </w:rPr>
              <w:t>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w:t>
            </w:r>
            <w:r>
              <w:rPr>
                <w:color w:val="auto"/>
                <w:spacing w:val="-6"/>
                <w:sz w:val="21"/>
              </w:rPr>
              <w:t>格投标人处理。已被列为中标候选人的，取消其中标候选人资格。已中标的，依据</w:t>
            </w:r>
            <w:r>
              <w:rPr>
                <w:color w:val="auto"/>
                <w:spacing w:val="-3"/>
                <w:sz w:val="21"/>
              </w:rPr>
              <w:t>有关法律法规规章的规定处理；</w:t>
            </w:r>
          </w:p>
          <w:p>
            <w:pPr>
              <w:pStyle w:val="45"/>
              <w:numPr>
                <w:ilvl w:val="0"/>
                <w:numId w:val="2"/>
              </w:numPr>
              <w:tabs>
                <w:tab w:val="left" w:pos="848"/>
              </w:tabs>
              <w:spacing w:before="4" w:line="242" w:lineRule="auto"/>
              <w:ind w:right="93" w:firstLine="211"/>
              <w:jc w:val="both"/>
              <w:rPr>
                <w:color w:val="auto"/>
                <w:sz w:val="21"/>
              </w:rPr>
            </w:pPr>
            <w:r>
              <w:rPr>
                <w:color w:val="auto"/>
                <w:spacing w:val="-4"/>
                <w:sz w:val="21"/>
              </w:rPr>
              <w:t>招标文件中所设置的内容、条款及未尽事宜，均以国家、省、市或建设行政主管部门颁发的招投标有关规定为准。法律、法规没有规定的，以招标人的解释为准。</w:t>
            </w:r>
          </w:p>
          <w:p>
            <w:pPr>
              <w:pStyle w:val="45"/>
              <w:numPr>
                <w:ilvl w:val="0"/>
                <w:numId w:val="2"/>
              </w:numPr>
              <w:tabs>
                <w:tab w:val="left" w:pos="848"/>
              </w:tabs>
              <w:spacing w:before="2" w:line="242" w:lineRule="auto"/>
              <w:ind w:right="-15" w:firstLine="211"/>
              <w:rPr>
                <w:color w:val="auto"/>
                <w:sz w:val="21"/>
              </w:rPr>
            </w:pPr>
            <w:r>
              <w:rPr>
                <w:color w:val="auto"/>
                <w:spacing w:val="-8"/>
                <w:sz w:val="21"/>
              </w:rPr>
              <w:t xml:space="preserve">投标人上传的投标文件相关证件应完整，清晰，如不完整，漏页或模糊不清 </w:t>
            </w:r>
            <w:r>
              <w:rPr>
                <w:color w:val="auto"/>
                <w:spacing w:val="-6"/>
                <w:sz w:val="21"/>
              </w:rPr>
              <w:t>，无法辨认等造成的投标失败或其它不利后果由投标单位自行负责。</w:t>
            </w:r>
          </w:p>
          <w:p>
            <w:pPr>
              <w:pStyle w:val="45"/>
              <w:numPr>
                <w:ilvl w:val="0"/>
                <w:numId w:val="2"/>
              </w:numPr>
              <w:tabs>
                <w:tab w:val="left" w:pos="848"/>
              </w:tabs>
              <w:spacing w:before="1" w:line="242" w:lineRule="auto"/>
              <w:ind w:right="-15" w:firstLine="211"/>
              <w:rPr>
                <w:color w:val="auto"/>
                <w:sz w:val="21"/>
              </w:rPr>
            </w:pPr>
            <w:r>
              <w:rPr>
                <w:color w:val="auto"/>
                <w:spacing w:val="-7"/>
                <w:sz w:val="21"/>
              </w:rPr>
              <w:t>中标单位在领取中标通知书之前，需提供</w:t>
            </w:r>
            <w:r>
              <w:rPr>
                <w:rFonts w:hint="eastAsia"/>
                <w:color w:val="auto"/>
                <w:spacing w:val="-7"/>
                <w:sz w:val="21"/>
                <w:lang w:eastAsia="zh-CN"/>
              </w:rPr>
              <w:t>五</w:t>
            </w:r>
            <w:r>
              <w:rPr>
                <w:color w:val="auto"/>
                <w:spacing w:val="-7"/>
                <w:sz w:val="21"/>
              </w:rPr>
              <w:t>套完整的纸质投标文件</w:t>
            </w:r>
            <w:r>
              <w:rPr>
                <w:rFonts w:hint="eastAsia"/>
                <w:color w:val="auto"/>
                <w:spacing w:val="-7"/>
                <w:sz w:val="21"/>
                <w:lang w:eastAsia="zh-CN"/>
              </w:rPr>
              <w:t>送至招标代理机构</w:t>
            </w:r>
            <w:r>
              <w:rPr>
                <w:color w:val="auto"/>
                <w:spacing w:val="-7"/>
                <w:sz w:val="21"/>
              </w:rPr>
              <w:t>用于备案。当提供的纸质文件资料与岳阳市公共资源交易网记录的电子文件资料不一致时， 以</w:t>
            </w:r>
            <w:r>
              <w:rPr>
                <w:color w:val="auto"/>
                <w:sz w:val="21"/>
              </w:rPr>
              <w:t>电子文件资料为准。</w:t>
            </w:r>
          </w:p>
        </w:tc>
      </w:tr>
    </w:tbl>
    <w:p>
      <w:pPr>
        <w:spacing w:line="250" w:lineRule="exact"/>
        <w:rPr>
          <w:color w:val="auto"/>
          <w:sz w:val="21"/>
        </w:rPr>
        <w:sectPr>
          <w:footerReference r:id="rId7" w:type="default"/>
          <w:pgSz w:w="11910" w:h="16850"/>
          <w:pgMar w:top="1520" w:right="1200" w:bottom="980" w:left="1180" w:header="0" w:footer="800" w:gutter="0"/>
          <w:cols w:space="720" w:num="1"/>
        </w:sectPr>
      </w:pPr>
    </w:p>
    <w:p>
      <w:pPr>
        <w:spacing w:before="44"/>
        <w:ind w:left="24"/>
        <w:jc w:val="center"/>
        <w:rPr>
          <w:rFonts w:ascii="黑体" w:eastAsia="黑体"/>
          <w:color w:val="auto"/>
          <w:sz w:val="28"/>
        </w:rPr>
      </w:pPr>
      <w:r>
        <w:rPr>
          <w:rFonts w:hint="eastAsia" w:ascii="黑体" w:eastAsia="黑体"/>
          <w:color w:val="auto"/>
          <w:sz w:val="28"/>
        </w:rPr>
        <w:t>投标人须知</w:t>
      </w:r>
    </w:p>
    <w:p>
      <w:pPr>
        <w:pStyle w:val="44"/>
        <w:numPr>
          <w:ilvl w:val="0"/>
          <w:numId w:val="3"/>
        </w:numPr>
        <w:tabs>
          <w:tab w:val="left" w:pos="452"/>
        </w:tabs>
        <w:spacing w:before="244"/>
        <w:ind w:hanging="214"/>
        <w:rPr>
          <w:rFonts w:ascii="黑体" w:eastAsia="黑体"/>
          <w:color w:val="auto"/>
          <w:sz w:val="28"/>
        </w:rPr>
      </w:pPr>
      <w:bookmarkStart w:id="26" w:name="1.总则"/>
      <w:bookmarkEnd w:id="26"/>
      <w:r>
        <w:rPr>
          <w:rFonts w:hint="eastAsia" w:ascii="黑体" w:eastAsia="黑体"/>
          <w:color w:val="auto"/>
          <w:sz w:val="28"/>
        </w:rPr>
        <w:t>总则</w:t>
      </w:r>
    </w:p>
    <w:p>
      <w:pPr>
        <w:pStyle w:val="42"/>
        <w:numPr>
          <w:ilvl w:val="1"/>
          <w:numId w:val="3"/>
        </w:numPr>
        <w:tabs>
          <w:tab w:val="left" w:pos="659"/>
        </w:tabs>
        <w:spacing w:before="187"/>
        <w:ind w:left="658" w:hanging="421"/>
        <w:rPr>
          <w:rFonts w:ascii="Times New Roman" w:eastAsia="Times New Roman"/>
          <w:color w:val="auto"/>
        </w:rPr>
      </w:pPr>
      <w:bookmarkStart w:id="27" w:name="1.1_项目概况"/>
      <w:bookmarkEnd w:id="27"/>
      <w:r>
        <w:rPr>
          <w:color w:val="auto"/>
        </w:rPr>
        <w:t>项目概况</w:t>
      </w:r>
    </w:p>
    <w:p>
      <w:pPr>
        <w:pStyle w:val="44"/>
        <w:numPr>
          <w:ilvl w:val="2"/>
          <w:numId w:val="3"/>
        </w:numPr>
        <w:tabs>
          <w:tab w:val="left" w:pos="1292"/>
          <w:tab w:val="left" w:pos="1293"/>
        </w:tabs>
        <w:spacing w:before="159" w:line="367" w:lineRule="auto"/>
        <w:ind w:right="209" w:firstLine="420"/>
        <w:rPr>
          <w:color w:val="auto"/>
          <w:sz w:val="21"/>
        </w:rPr>
      </w:pPr>
      <w:r>
        <w:rPr>
          <w:color w:val="auto"/>
          <w:sz w:val="21"/>
        </w:rPr>
        <w:t>根据《 中华人民共和国招标投标法》、</w:t>
      </w:r>
      <w:r>
        <w:rPr>
          <w:color w:val="auto"/>
          <w:spacing w:val="1"/>
        </w:rPr>
        <w:t xml:space="preserve">《中华人民共和国招标投标法实施条例》 </w:t>
      </w:r>
      <w:r>
        <w:rPr>
          <w:color w:val="auto"/>
          <w:spacing w:val="-14"/>
          <w:sz w:val="21"/>
        </w:rPr>
        <w:t>等</w:t>
      </w:r>
      <w:r>
        <w:rPr>
          <w:color w:val="auto"/>
          <w:spacing w:val="-3"/>
          <w:sz w:val="21"/>
        </w:rPr>
        <w:t>有关法律、法规和规章的规定，本招标项目已具备招标条件，现对设计施工总承包进行招标。</w:t>
      </w:r>
    </w:p>
    <w:p>
      <w:pPr>
        <w:pStyle w:val="44"/>
        <w:numPr>
          <w:ilvl w:val="2"/>
          <w:numId w:val="3"/>
        </w:numPr>
        <w:tabs>
          <w:tab w:val="left" w:pos="1289"/>
          <w:tab w:val="left" w:pos="1290"/>
        </w:tabs>
        <w:spacing w:line="264" w:lineRule="exact"/>
        <w:ind w:left="1290" w:hanging="632"/>
        <w:rPr>
          <w:color w:val="auto"/>
          <w:sz w:val="21"/>
        </w:rPr>
      </w:pPr>
      <w:r>
        <w:rPr>
          <w:color w:val="auto"/>
          <w:spacing w:val="-3"/>
          <w:sz w:val="21"/>
        </w:rPr>
        <w:t>招标人：见投标人须知前附表。</w:t>
      </w:r>
    </w:p>
    <w:p>
      <w:pPr>
        <w:pStyle w:val="44"/>
        <w:numPr>
          <w:ilvl w:val="2"/>
          <w:numId w:val="3"/>
        </w:numPr>
        <w:tabs>
          <w:tab w:val="left" w:pos="1289"/>
          <w:tab w:val="left" w:pos="1290"/>
        </w:tabs>
        <w:spacing w:before="139"/>
        <w:ind w:left="1290" w:hanging="632"/>
        <w:rPr>
          <w:color w:val="auto"/>
          <w:sz w:val="21"/>
        </w:rPr>
      </w:pPr>
      <w:r>
        <w:rPr>
          <w:color w:val="auto"/>
          <w:spacing w:val="-3"/>
          <w:sz w:val="21"/>
        </w:rPr>
        <w:t>招标代理机构：见投标人须知前附表。</w:t>
      </w:r>
    </w:p>
    <w:p>
      <w:pPr>
        <w:pStyle w:val="44"/>
        <w:numPr>
          <w:ilvl w:val="2"/>
          <w:numId w:val="3"/>
        </w:numPr>
        <w:tabs>
          <w:tab w:val="left" w:pos="1289"/>
          <w:tab w:val="left" w:pos="1290"/>
        </w:tabs>
        <w:spacing w:before="139"/>
        <w:ind w:left="1290" w:hanging="632"/>
        <w:rPr>
          <w:color w:val="auto"/>
          <w:sz w:val="21"/>
        </w:rPr>
      </w:pPr>
      <w:r>
        <w:rPr>
          <w:color w:val="auto"/>
          <w:spacing w:val="-3"/>
          <w:sz w:val="21"/>
        </w:rPr>
        <w:t>招标项目名称：见投标人须知前附表。</w:t>
      </w:r>
    </w:p>
    <w:p>
      <w:pPr>
        <w:pStyle w:val="44"/>
        <w:numPr>
          <w:ilvl w:val="2"/>
          <w:numId w:val="3"/>
        </w:numPr>
        <w:tabs>
          <w:tab w:val="left" w:pos="1289"/>
          <w:tab w:val="left" w:pos="1290"/>
        </w:tabs>
        <w:spacing w:before="140"/>
        <w:ind w:left="1290" w:hanging="632"/>
        <w:rPr>
          <w:color w:val="auto"/>
          <w:sz w:val="21"/>
        </w:rPr>
      </w:pPr>
      <w:r>
        <w:rPr>
          <w:color w:val="auto"/>
          <w:spacing w:val="-3"/>
          <w:sz w:val="21"/>
        </w:rPr>
        <w:t>建设地点：见投标人须知前附表。</w:t>
      </w:r>
    </w:p>
    <w:p>
      <w:pPr>
        <w:pStyle w:val="42"/>
        <w:numPr>
          <w:ilvl w:val="1"/>
          <w:numId w:val="3"/>
        </w:numPr>
        <w:tabs>
          <w:tab w:val="left" w:pos="659"/>
        </w:tabs>
        <w:spacing w:before="140"/>
        <w:ind w:left="658" w:hanging="421"/>
        <w:rPr>
          <w:rFonts w:ascii="Times New Roman" w:eastAsia="Times New Roman"/>
          <w:color w:val="auto"/>
        </w:rPr>
      </w:pPr>
      <w:bookmarkStart w:id="28" w:name="1.2_资金来源和落实情况"/>
      <w:bookmarkEnd w:id="28"/>
      <w:r>
        <w:rPr>
          <w:color w:val="auto"/>
        </w:rPr>
        <w:t>资金来源和落实情况</w:t>
      </w:r>
    </w:p>
    <w:p>
      <w:pPr>
        <w:pStyle w:val="8"/>
        <w:spacing w:before="159"/>
        <w:ind w:left="658"/>
        <w:rPr>
          <w:color w:val="auto"/>
        </w:rPr>
      </w:pPr>
      <w:r>
        <w:rPr>
          <w:color w:val="auto"/>
          <w:spacing w:val="-2"/>
        </w:rPr>
        <w:t>详见招标公告或投标邀请书 。</w:t>
      </w:r>
    </w:p>
    <w:p>
      <w:pPr>
        <w:pStyle w:val="42"/>
        <w:numPr>
          <w:ilvl w:val="1"/>
          <w:numId w:val="3"/>
        </w:numPr>
        <w:tabs>
          <w:tab w:val="left" w:pos="659"/>
        </w:tabs>
        <w:spacing w:before="138"/>
        <w:ind w:left="658" w:hanging="421"/>
        <w:rPr>
          <w:rFonts w:ascii="Times New Roman" w:eastAsia="Times New Roman"/>
          <w:color w:val="auto"/>
        </w:rPr>
      </w:pPr>
      <w:bookmarkStart w:id="29" w:name="1.3_招标范围、计划工期和质量要求"/>
      <w:bookmarkEnd w:id="29"/>
      <w:r>
        <w:rPr>
          <w:color w:val="auto"/>
        </w:rPr>
        <w:t>招标范围、计划工期和质量要求</w:t>
      </w:r>
    </w:p>
    <w:p>
      <w:pPr>
        <w:pStyle w:val="44"/>
        <w:numPr>
          <w:ilvl w:val="2"/>
          <w:numId w:val="3"/>
        </w:numPr>
        <w:tabs>
          <w:tab w:val="left" w:pos="1289"/>
          <w:tab w:val="left" w:pos="1290"/>
        </w:tabs>
        <w:spacing w:before="162"/>
        <w:ind w:left="1290" w:hanging="632"/>
        <w:rPr>
          <w:color w:val="auto"/>
          <w:sz w:val="21"/>
        </w:rPr>
      </w:pPr>
      <w:r>
        <w:rPr>
          <w:color w:val="auto"/>
          <w:spacing w:val="-3"/>
          <w:sz w:val="21"/>
        </w:rPr>
        <w:t>招标范围：见投标人须知前附表。</w:t>
      </w:r>
    </w:p>
    <w:p>
      <w:pPr>
        <w:pStyle w:val="44"/>
        <w:numPr>
          <w:ilvl w:val="2"/>
          <w:numId w:val="3"/>
        </w:numPr>
        <w:tabs>
          <w:tab w:val="left" w:pos="1289"/>
          <w:tab w:val="left" w:pos="1290"/>
        </w:tabs>
        <w:spacing w:before="139"/>
        <w:ind w:left="1290" w:hanging="632"/>
        <w:rPr>
          <w:color w:val="auto"/>
          <w:sz w:val="21"/>
        </w:rPr>
      </w:pPr>
      <w:r>
        <w:rPr>
          <w:color w:val="auto"/>
          <w:spacing w:val="-3"/>
          <w:sz w:val="21"/>
        </w:rPr>
        <w:t>计划工期：见投标人须知前附表。</w:t>
      </w:r>
    </w:p>
    <w:p>
      <w:pPr>
        <w:pStyle w:val="44"/>
        <w:numPr>
          <w:ilvl w:val="2"/>
          <w:numId w:val="3"/>
        </w:numPr>
        <w:tabs>
          <w:tab w:val="left" w:pos="1289"/>
          <w:tab w:val="left" w:pos="1290"/>
        </w:tabs>
        <w:spacing w:before="138"/>
        <w:ind w:left="1290" w:hanging="632"/>
        <w:rPr>
          <w:color w:val="auto"/>
          <w:sz w:val="21"/>
        </w:rPr>
      </w:pPr>
      <w:r>
        <w:rPr>
          <w:color w:val="auto"/>
          <w:spacing w:val="-3"/>
          <w:sz w:val="21"/>
        </w:rPr>
        <w:t>质量标准和保修要求：见投标人须知前附表。</w:t>
      </w:r>
    </w:p>
    <w:p>
      <w:pPr>
        <w:pStyle w:val="42"/>
        <w:numPr>
          <w:ilvl w:val="1"/>
          <w:numId w:val="3"/>
        </w:numPr>
        <w:tabs>
          <w:tab w:val="left" w:pos="659"/>
        </w:tabs>
        <w:spacing w:before="141"/>
        <w:ind w:left="658" w:hanging="421"/>
        <w:rPr>
          <w:rFonts w:ascii="Times New Roman" w:eastAsia="Times New Roman"/>
          <w:color w:val="auto"/>
        </w:rPr>
      </w:pPr>
      <w:bookmarkStart w:id="30" w:name="1.4_投标人资格要求"/>
      <w:bookmarkEnd w:id="30"/>
      <w:r>
        <w:rPr>
          <w:color w:val="auto"/>
        </w:rPr>
        <w:t>投标人资格要求</w:t>
      </w:r>
    </w:p>
    <w:p>
      <w:pPr>
        <w:pStyle w:val="8"/>
        <w:spacing w:before="159"/>
        <w:ind w:left="661"/>
        <w:rPr>
          <w:color w:val="auto"/>
        </w:rPr>
      </w:pPr>
      <w:r>
        <w:rPr>
          <w:rFonts w:ascii="Arial" w:hAnsi="Arial" w:eastAsia="Arial"/>
          <w:b/>
          <w:color w:val="auto"/>
        </w:rPr>
        <w:t></w:t>
      </w:r>
      <w:r>
        <w:rPr>
          <w:color w:val="auto"/>
        </w:rPr>
        <w:t>采用资格预审方式，投标人应是收到招标人发出投标邀请书的单位。</w:t>
      </w:r>
    </w:p>
    <w:p>
      <w:pPr>
        <w:pStyle w:val="8"/>
        <w:spacing w:before="139"/>
        <w:ind w:left="658" w:firstLine="210" w:firstLineChars="100"/>
        <w:rPr>
          <w:color w:val="auto"/>
        </w:rPr>
      </w:pPr>
      <w:bookmarkStart w:id="31" w:name="采用资格后审方式，投标人资格要求"/>
      <w:bookmarkEnd w:id="31"/>
      <w:r>
        <w:rPr>
          <w:color w:val="auto"/>
        </w:rPr>
        <w:t xml:space="preserve">采用资格后审方式，投标人资格要求 </w:t>
      </w:r>
    </w:p>
    <w:p>
      <w:pPr>
        <w:pStyle w:val="44"/>
        <w:numPr>
          <w:ilvl w:val="2"/>
          <w:numId w:val="3"/>
        </w:numPr>
        <w:tabs>
          <w:tab w:val="left" w:pos="1289"/>
          <w:tab w:val="left" w:pos="1290"/>
        </w:tabs>
        <w:spacing w:before="142"/>
        <w:ind w:left="1290" w:hanging="632"/>
        <w:rPr>
          <w:color w:val="auto"/>
          <w:sz w:val="21"/>
        </w:rPr>
      </w:pPr>
      <w:r>
        <w:rPr>
          <w:color w:val="auto"/>
          <w:spacing w:val="-3"/>
          <w:sz w:val="21"/>
        </w:rPr>
        <w:t>投标人应具备承担本项目的资质条件：见投标人须知前附表；</w:t>
      </w:r>
    </w:p>
    <w:p>
      <w:pPr>
        <w:pStyle w:val="44"/>
        <w:numPr>
          <w:ilvl w:val="2"/>
          <w:numId w:val="3"/>
        </w:numPr>
        <w:tabs>
          <w:tab w:val="left" w:pos="1289"/>
          <w:tab w:val="left" w:pos="1290"/>
        </w:tabs>
        <w:spacing w:before="139" w:line="364" w:lineRule="auto"/>
        <w:ind w:right="209" w:firstLine="420"/>
        <w:rPr>
          <w:color w:val="auto"/>
          <w:sz w:val="21"/>
        </w:rPr>
      </w:pPr>
      <w:r>
        <w:rPr>
          <w:color w:val="auto"/>
          <w:spacing w:val="-9"/>
          <w:sz w:val="21"/>
        </w:rPr>
        <w:t xml:space="preserve">投标人须知前附表规定接受联合体投标的，除应符合本须知第 </w:t>
      </w:r>
      <w:r>
        <w:rPr>
          <w:rFonts w:ascii="Times New Roman" w:eastAsia="Times New Roman"/>
          <w:color w:val="auto"/>
          <w:sz w:val="21"/>
        </w:rPr>
        <w:t>1.4.1</w:t>
      </w:r>
      <w:r>
        <w:rPr>
          <w:rFonts w:ascii="Times New Roman" w:eastAsia="Times New Roman"/>
          <w:color w:val="auto"/>
          <w:spacing w:val="18"/>
          <w:sz w:val="21"/>
        </w:rPr>
        <w:t xml:space="preserve"> </w:t>
      </w:r>
      <w:r>
        <w:rPr>
          <w:color w:val="auto"/>
          <w:spacing w:val="-3"/>
          <w:sz w:val="21"/>
        </w:rPr>
        <w:t>项和投标人须知前附表的要求外，还应遵守以下规定：</w:t>
      </w:r>
    </w:p>
    <w:p>
      <w:pPr>
        <w:pStyle w:val="44"/>
        <w:numPr>
          <w:ilvl w:val="0"/>
          <w:numId w:val="4"/>
        </w:numPr>
        <w:tabs>
          <w:tab w:val="left" w:pos="1186"/>
        </w:tabs>
        <w:spacing w:line="364" w:lineRule="auto"/>
        <w:ind w:right="209" w:firstLine="420"/>
        <w:rPr>
          <w:color w:val="auto"/>
          <w:sz w:val="21"/>
        </w:rPr>
      </w:pPr>
      <w:r>
        <w:rPr>
          <w:color w:val="auto"/>
          <w:spacing w:val="-5"/>
          <w:sz w:val="21"/>
        </w:rPr>
        <w:t xml:space="preserve">联合体各方应按招标文件提供的格式签订联合体协议书，明确联合体牵头人和各方权利 </w:t>
      </w:r>
      <w:r>
        <w:rPr>
          <w:color w:val="auto"/>
          <w:sz w:val="21"/>
        </w:rPr>
        <w:t>义务；</w:t>
      </w:r>
    </w:p>
    <w:p>
      <w:pPr>
        <w:pStyle w:val="44"/>
        <w:numPr>
          <w:ilvl w:val="0"/>
          <w:numId w:val="4"/>
        </w:numPr>
        <w:tabs>
          <w:tab w:val="left" w:pos="1188"/>
        </w:tabs>
        <w:ind w:left="1187" w:hanging="530"/>
        <w:rPr>
          <w:color w:val="auto"/>
          <w:sz w:val="21"/>
        </w:rPr>
      </w:pPr>
      <w:r>
        <w:rPr>
          <w:color w:val="auto"/>
          <w:spacing w:val="-3"/>
          <w:sz w:val="21"/>
        </w:rPr>
        <w:t>由同一专业的单位组成的联合体，按照资质等级较低的单位确定资质等级；</w:t>
      </w:r>
    </w:p>
    <w:p>
      <w:pPr>
        <w:pStyle w:val="44"/>
        <w:numPr>
          <w:ilvl w:val="0"/>
          <w:numId w:val="4"/>
        </w:numPr>
        <w:tabs>
          <w:tab w:val="left" w:pos="1188"/>
        </w:tabs>
        <w:spacing w:before="138"/>
        <w:ind w:left="1187" w:hanging="530"/>
        <w:rPr>
          <w:color w:val="auto"/>
          <w:sz w:val="21"/>
        </w:rPr>
      </w:pPr>
      <w:r>
        <w:rPr>
          <w:color w:val="auto"/>
          <w:spacing w:val="-3"/>
          <w:sz w:val="21"/>
        </w:rPr>
        <w:t>联合体各方不得再以自己名义单独或参加其他联合体在同一标段中投标。</w:t>
      </w:r>
    </w:p>
    <w:p>
      <w:pPr>
        <w:pStyle w:val="44"/>
        <w:numPr>
          <w:ilvl w:val="2"/>
          <w:numId w:val="3"/>
        </w:numPr>
        <w:tabs>
          <w:tab w:val="left" w:pos="1185"/>
        </w:tabs>
        <w:spacing w:before="138"/>
        <w:ind w:left="1184" w:hanging="527"/>
        <w:rPr>
          <w:color w:val="auto"/>
          <w:sz w:val="21"/>
        </w:rPr>
      </w:pPr>
      <w:r>
        <w:rPr>
          <w:color w:val="auto"/>
          <w:spacing w:val="-3"/>
          <w:sz w:val="21"/>
        </w:rPr>
        <w:t>投标人不得存在下列情形之一：</w:t>
      </w:r>
    </w:p>
    <w:p>
      <w:pPr>
        <w:pStyle w:val="8"/>
        <w:spacing w:before="139"/>
        <w:ind w:left="658"/>
        <w:rPr>
          <w:color w:val="auto"/>
        </w:rPr>
      </w:pPr>
      <w:r>
        <w:rPr>
          <w:color w:val="auto"/>
        </w:rPr>
        <w:t>（</w:t>
      </w:r>
      <w:r>
        <w:rPr>
          <w:rFonts w:ascii="Times New Roman" w:eastAsia="Times New Roman"/>
          <w:color w:val="auto"/>
        </w:rPr>
        <w:t>l</w:t>
      </w:r>
      <w:r>
        <w:rPr>
          <w:color w:val="auto"/>
        </w:rPr>
        <w:t>）为招标人的不具有独立法人资格的附属机构（单位）；</w:t>
      </w:r>
    </w:p>
    <w:p>
      <w:pPr>
        <w:pStyle w:val="44"/>
        <w:numPr>
          <w:ilvl w:val="0"/>
          <w:numId w:val="5"/>
        </w:numPr>
        <w:tabs>
          <w:tab w:val="left" w:pos="1188"/>
        </w:tabs>
        <w:spacing w:before="139"/>
        <w:ind w:hanging="530"/>
        <w:rPr>
          <w:color w:val="auto"/>
          <w:sz w:val="21"/>
        </w:rPr>
      </w:pPr>
      <w:r>
        <w:rPr>
          <w:color w:val="auto"/>
          <w:spacing w:val="-3"/>
          <w:sz w:val="21"/>
        </w:rPr>
        <w:t>为本招标项目的监理人；</w:t>
      </w:r>
    </w:p>
    <w:p>
      <w:pPr>
        <w:pStyle w:val="44"/>
        <w:numPr>
          <w:ilvl w:val="0"/>
          <w:numId w:val="5"/>
        </w:numPr>
        <w:tabs>
          <w:tab w:val="left" w:pos="1188"/>
        </w:tabs>
        <w:spacing w:before="142"/>
        <w:ind w:hanging="530"/>
        <w:rPr>
          <w:color w:val="auto"/>
          <w:sz w:val="21"/>
        </w:rPr>
      </w:pPr>
      <w:r>
        <w:rPr>
          <w:color w:val="auto"/>
          <w:spacing w:val="-3"/>
          <w:sz w:val="21"/>
        </w:rPr>
        <w:t>为本招标项目的代建人；</w:t>
      </w:r>
    </w:p>
    <w:p>
      <w:pPr>
        <w:pStyle w:val="44"/>
        <w:numPr>
          <w:ilvl w:val="0"/>
          <w:numId w:val="5"/>
        </w:numPr>
        <w:tabs>
          <w:tab w:val="left" w:pos="1188"/>
        </w:tabs>
        <w:spacing w:before="139"/>
        <w:ind w:hanging="530"/>
        <w:rPr>
          <w:color w:val="auto"/>
          <w:sz w:val="21"/>
        </w:rPr>
      </w:pPr>
      <w:r>
        <w:rPr>
          <w:color w:val="auto"/>
          <w:spacing w:val="-3"/>
          <w:sz w:val="21"/>
        </w:rPr>
        <w:t>为本招标项目的招标代理机构；</w:t>
      </w:r>
    </w:p>
    <w:p>
      <w:pPr>
        <w:pStyle w:val="44"/>
        <w:numPr>
          <w:ilvl w:val="0"/>
          <w:numId w:val="5"/>
        </w:numPr>
        <w:tabs>
          <w:tab w:val="left" w:pos="1188"/>
        </w:tabs>
        <w:spacing w:before="139"/>
        <w:ind w:hanging="530"/>
        <w:rPr>
          <w:color w:val="auto"/>
          <w:sz w:val="21"/>
        </w:rPr>
      </w:pPr>
      <w:r>
        <w:rPr>
          <w:color w:val="auto"/>
          <w:spacing w:val="-3"/>
          <w:sz w:val="21"/>
        </w:rPr>
        <w:t>与本招标项目的监理人或代建人或招标代理机构同为一个法定代表人的；</w:t>
      </w:r>
    </w:p>
    <w:p>
      <w:pPr>
        <w:pStyle w:val="44"/>
        <w:numPr>
          <w:ilvl w:val="0"/>
          <w:numId w:val="5"/>
        </w:numPr>
        <w:tabs>
          <w:tab w:val="left" w:pos="1188"/>
        </w:tabs>
        <w:spacing w:before="138"/>
        <w:ind w:hanging="530"/>
        <w:rPr>
          <w:color w:val="auto"/>
          <w:sz w:val="21"/>
        </w:rPr>
      </w:pPr>
      <w:r>
        <w:rPr>
          <w:color w:val="auto"/>
          <w:spacing w:val="-3"/>
          <w:sz w:val="21"/>
        </w:rPr>
        <w:t>与本招标项目的监理人或代建人或招标代理机构相互控股或参股的；</w:t>
      </w:r>
    </w:p>
    <w:p>
      <w:pPr>
        <w:rPr>
          <w:color w:val="auto"/>
          <w:sz w:val="21"/>
        </w:rPr>
        <w:sectPr>
          <w:pgSz w:w="11910" w:h="16850"/>
          <w:pgMar w:top="1480" w:right="1200" w:bottom="980" w:left="1180" w:header="0" w:footer="800" w:gutter="0"/>
          <w:cols w:space="720" w:num="1"/>
        </w:sectPr>
      </w:pPr>
    </w:p>
    <w:p>
      <w:pPr>
        <w:pStyle w:val="44"/>
        <w:numPr>
          <w:ilvl w:val="0"/>
          <w:numId w:val="5"/>
        </w:numPr>
        <w:tabs>
          <w:tab w:val="left" w:pos="1188"/>
        </w:tabs>
        <w:spacing w:before="64"/>
        <w:ind w:hanging="530"/>
        <w:rPr>
          <w:color w:val="auto"/>
          <w:sz w:val="21"/>
        </w:rPr>
      </w:pPr>
      <w:r>
        <w:rPr>
          <w:color w:val="auto"/>
          <w:spacing w:val="-3"/>
          <w:sz w:val="21"/>
        </w:rPr>
        <w:t>与本招标项目的监理人或代建人或招标代理机构相互任职或工作的；</w:t>
      </w:r>
    </w:p>
    <w:p>
      <w:pPr>
        <w:pStyle w:val="44"/>
        <w:numPr>
          <w:ilvl w:val="0"/>
          <w:numId w:val="5"/>
        </w:numPr>
        <w:tabs>
          <w:tab w:val="left" w:pos="1188"/>
        </w:tabs>
        <w:spacing w:before="139"/>
        <w:ind w:hanging="530"/>
        <w:rPr>
          <w:color w:val="auto"/>
          <w:sz w:val="21"/>
        </w:rPr>
      </w:pPr>
      <w:r>
        <w:rPr>
          <w:color w:val="auto"/>
          <w:spacing w:val="-3"/>
          <w:sz w:val="21"/>
        </w:rPr>
        <w:t>被责令停业的；</w:t>
      </w:r>
    </w:p>
    <w:p>
      <w:pPr>
        <w:pStyle w:val="44"/>
        <w:numPr>
          <w:ilvl w:val="0"/>
          <w:numId w:val="5"/>
        </w:numPr>
        <w:tabs>
          <w:tab w:val="left" w:pos="1188"/>
        </w:tabs>
        <w:spacing w:before="139"/>
        <w:ind w:hanging="530"/>
        <w:rPr>
          <w:color w:val="auto"/>
          <w:sz w:val="21"/>
        </w:rPr>
      </w:pPr>
      <w:r>
        <w:rPr>
          <w:color w:val="auto"/>
          <w:spacing w:val="-3"/>
          <w:sz w:val="21"/>
        </w:rPr>
        <w:t>被住房城乡建设主管部门取消参加本地区依法必须招标项目投标资格的；</w:t>
      </w:r>
    </w:p>
    <w:p>
      <w:pPr>
        <w:pStyle w:val="44"/>
        <w:numPr>
          <w:ilvl w:val="0"/>
          <w:numId w:val="5"/>
        </w:numPr>
        <w:tabs>
          <w:tab w:val="left" w:pos="1294"/>
        </w:tabs>
        <w:spacing w:before="142" w:line="364" w:lineRule="auto"/>
        <w:ind w:left="238" w:right="213" w:firstLine="420"/>
        <w:rPr>
          <w:color w:val="auto"/>
          <w:sz w:val="21"/>
        </w:rPr>
      </w:pPr>
      <w:r>
        <w:rPr>
          <w:color w:val="auto"/>
          <w:spacing w:val="-4"/>
          <w:sz w:val="21"/>
        </w:rPr>
        <w:t>被列入湖南省房屋建筑和市政基础设施工程施工监理招标投标失信黑名单并在有效期内</w:t>
      </w:r>
      <w:r>
        <w:rPr>
          <w:color w:val="auto"/>
          <w:sz w:val="21"/>
        </w:rPr>
        <w:t>的；</w:t>
      </w:r>
    </w:p>
    <w:p>
      <w:pPr>
        <w:pStyle w:val="44"/>
        <w:numPr>
          <w:ilvl w:val="0"/>
          <w:numId w:val="5"/>
        </w:numPr>
        <w:tabs>
          <w:tab w:val="left" w:pos="1284"/>
        </w:tabs>
        <w:spacing w:line="267" w:lineRule="exact"/>
        <w:ind w:left="1283" w:hanging="626"/>
        <w:rPr>
          <w:color w:val="auto"/>
          <w:sz w:val="21"/>
        </w:rPr>
      </w:pPr>
      <w:r>
        <w:rPr>
          <w:color w:val="auto"/>
          <w:spacing w:val="-3"/>
          <w:sz w:val="21"/>
        </w:rPr>
        <w:t>与招标人存在利害关系可能影响招标公正性的法人、其他组织或者个人；</w:t>
      </w:r>
    </w:p>
    <w:p>
      <w:pPr>
        <w:pStyle w:val="44"/>
        <w:numPr>
          <w:ilvl w:val="0"/>
          <w:numId w:val="5"/>
        </w:numPr>
        <w:tabs>
          <w:tab w:val="left" w:pos="1294"/>
        </w:tabs>
        <w:spacing w:before="139" w:line="364" w:lineRule="auto"/>
        <w:ind w:left="238" w:right="213" w:firstLine="420"/>
        <w:rPr>
          <w:color w:val="auto"/>
          <w:sz w:val="21"/>
        </w:rPr>
      </w:pPr>
      <w:r>
        <w:rPr>
          <w:color w:val="auto"/>
          <w:spacing w:val="-4"/>
          <w:sz w:val="21"/>
        </w:rPr>
        <w:t>单位负责人为同一人或者存在控股、管理关系的不同单位参加同一标段或者未划分标段</w:t>
      </w:r>
      <w:r>
        <w:rPr>
          <w:color w:val="auto"/>
          <w:spacing w:val="-3"/>
          <w:sz w:val="21"/>
        </w:rPr>
        <w:t>的同一招标项目投标的</w:t>
      </w:r>
    </w:p>
    <w:p>
      <w:pPr>
        <w:pStyle w:val="44"/>
        <w:numPr>
          <w:ilvl w:val="0"/>
          <w:numId w:val="5"/>
        </w:numPr>
        <w:tabs>
          <w:tab w:val="left" w:pos="1294"/>
        </w:tabs>
        <w:ind w:left="1293" w:hanging="636"/>
        <w:rPr>
          <w:color w:val="auto"/>
          <w:sz w:val="21"/>
        </w:rPr>
      </w:pPr>
      <w:r>
        <w:rPr>
          <w:color w:val="auto"/>
          <w:spacing w:val="-3"/>
          <w:sz w:val="21"/>
        </w:rPr>
        <w:t>法律、法规规定的其他情形。</w:t>
      </w:r>
    </w:p>
    <w:p>
      <w:pPr>
        <w:pStyle w:val="44"/>
        <w:numPr>
          <w:ilvl w:val="1"/>
          <w:numId w:val="3"/>
        </w:numPr>
        <w:tabs>
          <w:tab w:val="left" w:pos="659"/>
        </w:tabs>
        <w:spacing w:before="138"/>
        <w:ind w:left="658" w:hanging="421"/>
        <w:rPr>
          <w:rFonts w:ascii="Times New Roman" w:eastAsia="Times New Roman"/>
          <w:b/>
          <w:color w:val="auto"/>
          <w:sz w:val="24"/>
        </w:rPr>
      </w:pPr>
      <w:bookmarkStart w:id="32" w:name="1.5_费用承担和设计成果补偿"/>
      <w:bookmarkEnd w:id="32"/>
      <w:r>
        <w:rPr>
          <w:b/>
          <w:color w:val="auto"/>
          <w:sz w:val="24"/>
        </w:rPr>
        <w:t>费用承担和设计成果补偿</w:t>
      </w:r>
    </w:p>
    <w:p>
      <w:pPr>
        <w:pStyle w:val="8"/>
        <w:spacing w:before="11"/>
        <w:rPr>
          <w:b/>
          <w:color w:val="auto"/>
          <w:sz w:val="20"/>
        </w:rPr>
      </w:pPr>
    </w:p>
    <w:p>
      <w:pPr>
        <w:pStyle w:val="44"/>
        <w:numPr>
          <w:ilvl w:val="2"/>
          <w:numId w:val="3"/>
        </w:numPr>
        <w:tabs>
          <w:tab w:val="left" w:pos="1185"/>
        </w:tabs>
        <w:ind w:left="1184" w:hanging="527"/>
        <w:rPr>
          <w:color w:val="auto"/>
          <w:sz w:val="21"/>
        </w:rPr>
      </w:pPr>
      <w:r>
        <w:rPr>
          <w:color w:val="auto"/>
          <w:spacing w:val="-3"/>
          <w:sz w:val="21"/>
        </w:rPr>
        <w:t>投标人准备和参加投标活动发生的费用自理。</w:t>
      </w:r>
    </w:p>
    <w:p>
      <w:pPr>
        <w:pStyle w:val="44"/>
        <w:numPr>
          <w:ilvl w:val="2"/>
          <w:numId w:val="3"/>
        </w:numPr>
        <w:tabs>
          <w:tab w:val="left" w:pos="1185"/>
        </w:tabs>
        <w:spacing w:before="24"/>
        <w:ind w:left="1184" w:hanging="527"/>
        <w:rPr>
          <w:color w:val="auto"/>
          <w:sz w:val="21"/>
        </w:rPr>
      </w:pPr>
      <w:r>
        <w:rPr>
          <w:color w:val="auto"/>
          <w:spacing w:val="-3"/>
          <w:sz w:val="21"/>
        </w:rPr>
        <w:t>招标人不对符合招标文件规定的未中标人的设计成果进行补偿。</w:t>
      </w:r>
    </w:p>
    <w:p>
      <w:pPr>
        <w:pStyle w:val="42"/>
        <w:numPr>
          <w:ilvl w:val="1"/>
          <w:numId w:val="3"/>
        </w:numPr>
        <w:tabs>
          <w:tab w:val="left" w:pos="659"/>
        </w:tabs>
        <w:spacing w:before="138"/>
        <w:ind w:left="658" w:hanging="421"/>
        <w:rPr>
          <w:rFonts w:ascii="Times New Roman" w:eastAsia="Times New Roman"/>
          <w:color w:val="auto"/>
        </w:rPr>
      </w:pPr>
      <w:bookmarkStart w:id="33" w:name="1.6_保密"/>
      <w:bookmarkEnd w:id="33"/>
      <w:r>
        <w:rPr>
          <w:color w:val="auto"/>
        </w:rPr>
        <w:t>保密</w:t>
      </w:r>
    </w:p>
    <w:p>
      <w:pPr>
        <w:pStyle w:val="8"/>
        <w:spacing w:before="162" w:line="364" w:lineRule="auto"/>
        <w:ind w:left="238" w:right="213" w:firstLine="420"/>
        <w:rPr>
          <w:color w:val="auto"/>
        </w:rPr>
      </w:pPr>
      <w:r>
        <w:rPr>
          <w:color w:val="auto"/>
          <w:spacing w:val="-4"/>
        </w:rPr>
        <w:t>参与招标投标活动的各方应对招标文件和投标文件中的商业和技术等秘密保密，违者应对由此</w:t>
      </w:r>
      <w:r>
        <w:rPr>
          <w:color w:val="auto"/>
          <w:spacing w:val="-3"/>
        </w:rPr>
        <w:t>造成的后果承担法律责任。</w:t>
      </w:r>
    </w:p>
    <w:p>
      <w:pPr>
        <w:pStyle w:val="42"/>
        <w:numPr>
          <w:ilvl w:val="1"/>
          <w:numId w:val="3"/>
        </w:numPr>
        <w:tabs>
          <w:tab w:val="left" w:pos="659"/>
        </w:tabs>
        <w:spacing w:line="304" w:lineRule="exact"/>
        <w:ind w:left="658" w:hanging="421"/>
        <w:rPr>
          <w:rFonts w:ascii="Times New Roman" w:eastAsia="Times New Roman"/>
          <w:color w:val="auto"/>
        </w:rPr>
      </w:pPr>
      <w:bookmarkStart w:id="34" w:name="1.7_语言文字"/>
      <w:bookmarkEnd w:id="34"/>
      <w:r>
        <w:rPr>
          <w:color w:val="auto"/>
        </w:rPr>
        <w:t>语言文字</w:t>
      </w:r>
    </w:p>
    <w:p>
      <w:pPr>
        <w:pStyle w:val="8"/>
        <w:spacing w:before="162"/>
        <w:ind w:left="658"/>
        <w:rPr>
          <w:color w:val="auto"/>
        </w:rPr>
      </w:pPr>
      <w:r>
        <w:rPr>
          <w:color w:val="auto"/>
        </w:rPr>
        <w:t>除专用术语外，与招标投标有关的语言均使用中文。必要时专用术语应附有中文注释。</w:t>
      </w:r>
    </w:p>
    <w:p>
      <w:pPr>
        <w:pStyle w:val="42"/>
        <w:numPr>
          <w:ilvl w:val="1"/>
          <w:numId w:val="3"/>
        </w:numPr>
        <w:tabs>
          <w:tab w:val="left" w:pos="659"/>
        </w:tabs>
        <w:spacing w:before="138"/>
        <w:ind w:left="658" w:hanging="421"/>
        <w:rPr>
          <w:rFonts w:ascii="Times New Roman" w:eastAsia="Times New Roman"/>
          <w:color w:val="auto"/>
        </w:rPr>
      </w:pPr>
      <w:bookmarkStart w:id="35" w:name="1.8_计量单位"/>
      <w:bookmarkEnd w:id="35"/>
      <w:r>
        <w:rPr>
          <w:color w:val="auto"/>
        </w:rPr>
        <w:t>计量单位</w:t>
      </w:r>
    </w:p>
    <w:p>
      <w:pPr>
        <w:pStyle w:val="8"/>
        <w:spacing w:before="159"/>
        <w:ind w:left="658"/>
        <w:rPr>
          <w:color w:val="auto"/>
        </w:rPr>
      </w:pPr>
      <w:r>
        <w:rPr>
          <w:color w:val="auto"/>
        </w:rPr>
        <w:t>所有计量均采用中华人民共和国法定计量单位。</w:t>
      </w:r>
    </w:p>
    <w:p>
      <w:pPr>
        <w:pStyle w:val="42"/>
        <w:numPr>
          <w:ilvl w:val="1"/>
          <w:numId w:val="3"/>
        </w:numPr>
        <w:tabs>
          <w:tab w:val="left" w:pos="659"/>
        </w:tabs>
        <w:spacing w:before="140"/>
        <w:ind w:left="658" w:hanging="421"/>
        <w:rPr>
          <w:rFonts w:ascii="Times New Roman" w:eastAsia="Times New Roman"/>
          <w:color w:val="auto"/>
        </w:rPr>
      </w:pPr>
      <w:bookmarkStart w:id="36" w:name="1.9_踏勘现场"/>
      <w:bookmarkEnd w:id="36"/>
      <w:r>
        <w:rPr>
          <w:color w:val="auto"/>
        </w:rPr>
        <w:t>踏勘现场</w:t>
      </w:r>
    </w:p>
    <w:p>
      <w:pPr>
        <w:pStyle w:val="44"/>
        <w:numPr>
          <w:ilvl w:val="2"/>
          <w:numId w:val="3"/>
        </w:numPr>
        <w:tabs>
          <w:tab w:val="left" w:pos="1289"/>
          <w:tab w:val="left" w:pos="1290"/>
        </w:tabs>
        <w:spacing w:before="159"/>
        <w:ind w:left="1290" w:hanging="632"/>
        <w:rPr>
          <w:color w:val="auto"/>
          <w:sz w:val="21"/>
        </w:rPr>
      </w:pPr>
      <w:r>
        <w:rPr>
          <w:color w:val="auto"/>
          <w:spacing w:val="-3"/>
          <w:sz w:val="21"/>
        </w:rPr>
        <w:t>按投标人须知前附表的规定执行。</w:t>
      </w:r>
    </w:p>
    <w:p>
      <w:pPr>
        <w:pStyle w:val="44"/>
        <w:numPr>
          <w:ilvl w:val="2"/>
          <w:numId w:val="3"/>
        </w:numPr>
        <w:tabs>
          <w:tab w:val="left" w:pos="1289"/>
          <w:tab w:val="left" w:pos="1290"/>
        </w:tabs>
        <w:spacing w:before="139"/>
        <w:ind w:left="1290" w:hanging="632"/>
        <w:rPr>
          <w:color w:val="auto"/>
          <w:sz w:val="21"/>
        </w:rPr>
      </w:pPr>
      <w:r>
        <w:rPr>
          <w:color w:val="auto"/>
          <w:spacing w:val="-3"/>
          <w:sz w:val="21"/>
        </w:rPr>
        <w:t>投标人踏勘现场发生的费用自理。</w:t>
      </w:r>
    </w:p>
    <w:p>
      <w:pPr>
        <w:pStyle w:val="44"/>
        <w:numPr>
          <w:ilvl w:val="2"/>
          <w:numId w:val="3"/>
        </w:numPr>
        <w:tabs>
          <w:tab w:val="left" w:pos="1289"/>
          <w:tab w:val="left" w:pos="1290"/>
        </w:tabs>
        <w:spacing w:before="142"/>
        <w:ind w:left="1290" w:hanging="632"/>
        <w:rPr>
          <w:color w:val="auto"/>
          <w:sz w:val="21"/>
        </w:rPr>
      </w:pPr>
      <w:r>
        <w:rPr>
          <w:color w:val="auto"/>
          <w:spacing w:val="-3"/>
          <w:sz w:val="21"/>
        </w:rPr>
        <w:t>除招标人的原因外，投标人自行负责在踏勘现场中所发生的人员伤亡和财产损失。</w:t>
      </w:r>
    </w:p>
    <w:p>
      <w:pPr>
        <w:pStyle w:val="44"/>
        <w:numPr>
          <w:ilvl w:val="2"/>
          <w:numId w:val="3"/>
        </w:numPr>
        <w:tabs>
          <w:tab w:val="left" w:pos="1292"/>
          <w:tab w:val="left" w:pos="1293"/>
        </w:tabs>
        <w:spacing w:before="138" w:line="364" w:lineRule="auto"/>
        <w:ind w:right="213" w:firstLine="420"/>
        <w:rPr>
          <w:color w:val="auto"/>
          <w:sz w:val="21"/>
        </w:rPr>
      </w:pPr>
      <w:r>
        <w:rPr>
          <w:color w:val="auto"/>
          <w:spacing w:val="-4"/>
          <w:sz w:val="21"/>
        </w:rPr>
        <w:t>招标人在踏勘现场有关工程场地和相关环境等情况的介绍，供投标人参考。投标人对自</w:t>
      </w:r>
      <w:r>
        <w:rPr>
          <w:color w:val="auto"/>
          <w:spacing w:val="-3"/>
          <w:sz w:val="21"/>
        </w:rPr>
        <w:t>身的判断和决策负责。</w:t>
      </w:r>
    </w:p>
    <w:p>
      <w:pPr>
        <w:pStyle w:val="42"/>
        <w:numPr>
          <w:ilvl w:val="1"/>
          <w:numId w:val="3"/>
        </w:numPr>
        <w:tabs>
          <w:tab w:val="left" w:pos="779"/>
        </w:tabs>
        <w:spacing w:line="305" w:lineRule="exact"/>
        <w:ind w:left="778" w:hanging="541"/>
        <w:rPr>
          <w:rFonts w:ascii="Times New Roman" w:eastAsia="Times New Roman"/>
          <w:color w:val="auto"/>
        </w:rPr>
      </w:pPr>
      <w:bookmarkStart w:id="37" w:name="1.10_分包"/>
      <w:bookmarkEnd w:id="37"/>
      <w:r>
        <w:rPr>
          <w:color w:val="auto"/>
        </w:rPr>
        <w:t>分包</w:t>
      </w:r>
    </w:p>
    <w:p>
      <w:pPr>
        <w:pStyle w:val="8"/>
        <w:spacing w:before="162" w:line="364" w:lineRule="auto"/>
        <w:ind w:left="238" w:right="213" w:firstLine="420"/>
        <w:rPr>
          <w:color w:val="auto"/>
        </w:rPr>
      </w:pPr>
      <w:r>
        <w:rPr>
          <w:color w:val="auto"/>
          <w:spacing w:val="-4"/>
        </w:rPr>
        <w:t>投标人拟在中标后将中标项目的部分非主体、非关键性工作进行分包的，应符合投标人须知前</w:t>
      </w:r>
      <w:r>
        <w:rPr>
          <w:color w:val="auto"/>
          <w:spacing w:val="-3"/>
        </w:rPr>
        <w:t>附表规定的分包内容、分包金额和接受分包的第三人资质要求等限制性条件。</w:t>
      </w:r>
    </w:p>
    <w:p>
      <w:pPr>
        <w:pStyle w:val="42"/>
        <w:numPr>
          <w:ilvl w:val="1"/>
          <w:numId w:val="3"/>
        </w:numPr>
        <w:tabs>
          <w:tab w:val="left" w:pos="770"/>
        </w:tabs>
        <w:spacing w:line="304" w:lineRule="exact"/>
        <w:ind w:left="769" w:hanging="532"/>
        <w:rPr>
          <w:rFonts w:ascii="Times New Roman" w:eastAsia="Times New Roman"/>
          <w:color w:val="auto"/>
        </w:rPr>
      </w:pPr>
      <w:bookmarkStart w:id="38" w:name="1.11_偏离"/>
      <w:bookmarkEnd w:id="38"/>
      <w:r>
        <w:rPr>
          <w:color w:val="auto"/>
        </w:rPr>
        <w:t>偏离</w:t>
      </w:r>
    </w:p>
    <w:p>
      <w:pPr>
        <w:pStyle w:val="8"/>
        <w:spacing w:before="162" w:line="364" w:lineRule="auto"/>
        <w:ind w:left="238" w:right="213" w:firstLine="420"/>
        <w:rPr>
          <w:color w:val="auto"/>
        </w:rPr>
      </w:pPr>
      <w:r>
        <w:rPr>
          <w:color w:val="auto"/>
          <w:spacing w:val="-4"/>
        </w:rPr>
        <w:t>投标人须知前附表允许投标文件偏离招标文件某些要求的，偏离应当符合招标文件规定的偏离</w:t>
      </w:r>
      <w:r>
        <w:rPr>
          <w:color w:val="auto"/>
          <w:spacing w:val="-2"/>
        </w:rPr>
        <w:t>范围和幅度。</w:t>
      </w:r>
    </w:p>
    <w:p>
      <w:pPr>
        <w:spacing w:line="364" w:lineRule="auto"/>
        <w:rPr>
          <w:color w:val="auto"/>
        </w:rPr>
        <w:sectPr>
          <w:pgSz w:w="11910" w:h="16850"/>
          <w:pgMar w:top="1460" w:right="1200" w:bottom="1060" w:left="1180" w:header="0" w:footer="800" w:gutter="0"/>
          <w:cols w:space="720" w:num="1"/>
        </w:sectPr>
      </w:pPr>
    </w:p>
    <w:p>
      <w:pPr>
        <w:pStyle w:val="40"/>
        <w:numPr>
          <w:ilvl w:val="0"/>
          <w:numId w:val="3"/>
        </w:numPr>
        <w:tabs>
          <w:tab w:val="left" w:pos="452"/>
        </w:tabs>
        <w:spacing w:before="42"/>
        <w:ind w:hanging="214"/>
        <w:rPr>
          <w:color w:val="auto"/>
        </w:rPr>
      </w:pPr>
      <w:bookmarkStart w:id="39" w:name="2.招标文件"/>
      <w:bookmarkEnd w:id="39"/>
      <w:r>
        <w:rPr>
          <w:color w:val="auto"/>
        </w:rPr>
        <w:t>招标文件</w:t>
      </w:r>
    </w:p>
    <w:p>
      <w:pPr>
        <w:pStyle w:val="42"/>
        <w:numPr>
          <w:ilvl w:val="1"/>
          <w:numId w:val="3"/>
        </w:numPr>
        <w:tabs>
          <w:tab w:val="left" w:pos="659"/>
        </w:tabs>
        <w:spacing w:before="187"/>
        <w:ind w:left="658" w:hanging="421"/>
        <w:rPr>
          <w:rFonts w:ascii="Times New Roman" w:eastAsia="Times New Roman"/>
          <w:color w:val="auto"/>
        </w:rPr>
      </w:pPr>
      <w:bookmarkStart w:id="40" w:name="2.1_招标文件的组成"/>
      <w:bookmarkEnd w:id="40"/>
      <w:r>
        <w:rPr>
          <w:color w:val="auto"/>
        </w:rPr>
        <w:t>招标文件的组成</w:t>
      </w:r>
    </w:p>
    <w:p>
      <w:pPr>
        <w:pStyle w:val="8"/>
        <w:spacing w:before="160"/>
        <w:ind w:left="658"/>
        <w:rPr>
          <w:color w:val="auto"/>
        </w:rPr>
      </w:pPr>
      <w:r>
        <w:rPr>
          <w:color w:val="auto"/>
        </w:rPr>
        <w:t>本招标文件包括：</w:t>
      </w:r>
    </w:p>
    <w:p>
      <w:pPr>
        <w:pStyle w:val="44"/>
        <w:numPr>
          <w:ilvl w:val="0"/>
          <w:numId w:val="6"/>
        </w:numPr>
        <w:tabs>
          <w:tab w:val="left" w:pos="1128"/>
        </w:tabs>
        <w:spacing w:before="141"/>
        <w:ind w:hanging="530"/>
        <w:rPr>
          <w:color w:val="auto"/>
          <w:sz w:val="21"/>
        </w:rPr>
      </w:pPr>
      <w:r>
        <w:rPr>
          <w:color w:val="auto"/>
          <w:spacing w:val="-3"/>
          <w:sz w:val="21"/>
        </w:rPr>
        <w:t>招标公告；</w:t>
      </w:r>
    </w:p>
    <w:p>
      <w:pPr>
        <w:pStyle w:val="44"/>
        <w:numPr>
          <w:ilvl w:val="0"/>
          <w:numId w:val="6"/>
        </w:numPr>
        <w:tabs>
          <w:tab w:val="left" w:pos="1128"/>
        </w:tabs>
        <w:spacing w:before="139"/>
        <w:ind w:hanging="530"/>
        <w:rPr>
          <w:color w:val="auto"/>
          <w:sz w:val="21"/>
        </w:rPr>
      </w:pPr>
      <w:r>
        <w:rPr>
          <w:color w:val="auto"/>
          <w:spacing w:val="-3"/>
          <w:sz w:val="21"/>
        </w:rPr>
        <w:t>投标人须知；</w:t>
      </w:r>
    </w:p>
    <w:p>
      <w:pPr>
        <w:pStyle w:val="44"/>
        <w:numPr>
          <w:ilvl w:val="0"/>
          <w:numId w:val="6"/>
        </w:numPr>
        <w:tabs>
          <w:tab w:val="left" w:pos="1128"/>
        </w:tabs>
        <w:spacing w:before="139"/>
        <w:ind w:hanging="530"/>
        <w:rPr>
          <w:color w:val="auto"/>
          <w:sz w:val="21"/>
        </w:rPr>
      </w:pPr>
      <w:r>
        <w:rPr>
          <w:color w:val="auto"/>
          <w:spacing w:val="-3"/>
          <w:sz w:val="21"/>
        </w:rPr>
        <w:t>评标办法；</w:t>
      </w:r>
    </w:p>
    <w:p>
      <w:pPr>
        <w:pStyle w:val="44"/>
        <w:numPr>
          <w:ilvl w:val="0"/>
          <w:numId w:val="6"/>
        </w:numPr>
        <w:tabs>
          <w:tab w:val="left" w:pos="1128"/>
        </w:tabs>
        <w:spacing w:before="139"/>
        <w:ind w:hanging="530"/>
        <w:rPr>
          <w:color w:val="auto"/>
          <w:sz w:val="21"/>
        </w:rPr>
      </w:pPr>
      <w:r>
        <w:rPr>
          <w:color w:val="auto"/>
          <w:spacing w:val="-3"/>
          <w:sz w:val="21"/>
        </w:rPr>
        <w:t>合同条款及格式；</w:t>
      </w:r>
    </w:p>
    <w:p>
      <w:pPr>
        <w:pStyle w:val="44"/>
        <w:numPr>
          <w:ilvl w:val="0"/>
          <w:numId w:val="6"/>
        </w:numPr>
        <w:tabs>
          <w:tab w:val="left" w:pos="1128"/>
        </w:tabs>
        <w:spacing w:before="139"/>
        <w:ind w:hanging="530"/>
        <w:rPr>
          <w:color w:val="auto"/>
          <w:sz w:val="21"/>
        </w:rPr>
      </w:pPr>
      <w:r>
        <w:rPr>
          <w:color w:val="auto"/>
          <w:spacing w:val="-3"/>
          <w:sz w:val="21"/>
        </w:rPr>
        <w:t>发包人要求；</w:t>
      </w:r>
    </w:p>
    <w:p>
      <w:pPr>
        <w:pStyle w:val="44"/>
        <w:numPr>
          <w:ilvl w:val="0"/>
          <w:numId w:val="6"/>
        </w:numPr>
        <w:tabs>
          <w:tab w:val="left" w:pos="1128"/>
        </w:tabs>
        <w:spacing w:before="142"/>
        <w:ind w:hanging="530"/>
        <w:rPr>
          <w:color w:val="auto"/>
          <w:sz w:val="21"/>
        </w:rPr>
      </w:pPr>
      <w:r>
        <w:rPr>
          <w:color w:val="auto"/>
          <w:spacing w:val="-3"/>
          <w:sz w:val="21"/>
        </w:rPr>
        <w:t>发包人提供的资料和条件；</w:t>
      </w:r>
    </w:p>
    <w:p>
      <w:pPr>
        <w:pStyle w:val="44"/>
        <w:numPr>
          <w:ilvl w:val="0"/>
          <w:numId w:val="6"/>
        </w:numPr>
        <w:tabs>
          <w:tab w:val="left" w:pos="1128"/>
        </w:tabs>
        <w:spacing w:before="139"/>
        <w:ind w:hanging="530"/>
        <w:rPr>
          <w:color w:val="auto"/>
          <w:sz w:val="21"/>
        </w:rPr>
      </w:pPr>
      <w:r>
        <w:rPr>
          <w:color w:val="auto"/>
          <w:spacing w:val="-3"/>
          <w:sz w:val="21"/>
        </w:rPr>
        <w:t>投标文件格式；</w:t>
      </w:r>
    </w:p>
    <w:p>
      <w:pPr>
        <w:pStyle w:val="44"/>
        <w:numPr>
          <w:ilvl w:val="0"/>
          <w:numId w:val="6"/>
        </w:numPr>
        <w:tabs>
          <w:tab w:val="left" w:pos="1188"/>
        </w:tabs>
        <w:spacing w:before="139"/>
        <w:ind w:left="1187" w:hanging="530"/>
        <w:rPr>
          <w:color w:val="auto"/>
          <w:sz w:val="21"/>
        </w:rPr>
      </w:pPr>
      <w:r>
        <w:rPr>
          <w:color w:val="auto"/>
          <w:spacing w:val="-3"/>
          <w:sz w:val="21"/>
        </w:rPr>
        <w:t>投标人须知前附表规定的其他资料。</w:t>
      </w:r>
    </w:p>
    <w:p>
      <w:pPr>
        <w:pStyle w:val="8"/>
        <w:spacing w:before="138"/>
        <w:ind w:left="658"/>
        <w:rPr>
          <w:color w:val="auto"/>
        </w:rPr>
      </w:pPr>
      <w:r>
        <w:rPr>
          <w:color w:val="auto"/>
        </w:rPr>
        <w:t xml:space="preserve">根据本须知第 </w:t>
      </w:r>
      <w:r>
        <w:rPr>
          <w:rFonts w:ascii="Times New Roman" w:eastAsia="Times New Roman"/>
          <w:color w:val="auto"/>
        </w:rPr>
        <w:t xml:space="preserve">2.2 </w:t>
      </w:r>
      <w:r>
        <w:rPr>
          <w:color w:val="auto"/>
        </w:rPr>
        <w:t>项对招标文件所作的澄清和修改，构成招标文件的组成部分。</w:t>
      </w:r>
    </w:p>
    <w:p>
      <w:pPr>
        <w:pStyle w:val="42"/>
        <w:numPr>
          <w:ilvl w:val="1"/>
          <w:numId w:val="3"/>
        </w:numPr>
        <w:tabs>
          <w:tab w:val="left" w:pos="659"/>
        </w:tabs>
        <w:spacing w:before="141"/>
        <w:ind w:left="658" w:hanging="421"/>
        <w:rPr>
          <w:rFonts w:ascii="Times New Roman" w:eastAsia="Times New Roman"/>
          <w:color w:val="auto"/>
        </w:rPr>
      </w:pPr>
      <w:bookmarkStart w:id="41" w:name="2.2_招标文件的澄清和修改"/>
      <w:bookmarkEnd w:id="41"/>
      <w:r>
        <w:rPr>
          <w:color w:val="auto"/>
        </w:rPr>
        <w:t>招标文件的澄清和修改</w:t>
      </w:r>
    </w:p>
    <w:p>
      <w:pPr>
        <w:pStyle w:val="44"/>
        <w:numPr>
          <w:ilvl w:val="2"/>
          <w:numId w:val="3"/>
        </w:numPr>
        <w:tabs>
          <w:tab w:val="left" w:pos="1293"/>
        </w:tabs>
        <w:spacing w:before="159" w:line="364" w:lineRule="auto"/>
        <w:ind w:right="212" w:firstLine="420"/>
        <w:jc w:val="both"/>
        <w:rPr>
          <w:color w:val="auto"/>
          <w:sz w:val="21"/>
        </w:rPr>
      </w:pPr>
      <w:r>
        <w:rPr>
          <w:color w:val="auto"/>
          <w:spacing w:val="-4"/>
          <w:sz w:val="21"/>
        </w:rPr>
        <w:t>投标人应仔细阅读和检查招标文件的全部内容。如有疑问，应当在投标人须知前附表规</w:t>
      </w:r>
      <w:r>
        <w:rPr>
          <w:color w:val="auto"/>
          <w:spacing w:val="-3"/>
          <w:sz w:val="21"/>
        </w:rPr>
        <w:t>定的时间之前，按照规定的方式，要求招标人澄清。</w:t>
      </w:r>
    </w:p>
    <w:p>
      <w:pPr>
        <w:pStyle w:val="44"/>
        <w:numPr>
          <w:ilvl w:val="2"/>
          <w:numId w:val="3"/>
        </w:numPr>
        <w:tabs>
          <w:tab w:val="left" w:pos="1293"/>
        </w:tabs>
        <w:spacing w:line="364" w:lineRule="auto"/>
        <w:ind w:right="207" w:firstLine="420"/>
        <w:jc w:val="both"/>
        <w:rPr>
          <w:color w:val="auto"/>
          <w:sz w:val="21"/>
        </w:rPr>
      </w:pPr>
      <w:r>
        <w:rPr>
          <w:color w:val="auto"/>
          <w:spacing w:val="-3"/>
          <w:sz w:val="21"/>
        </w:rPr>
        <w:t>招标文件的澄清或者修改的内容可能影响投标文件编制的，由招标人在投标人须知前附</w:t>
      </w:r>
      <w:r>
        <w:rPr>
          <w:color w:val="auto"/>
          <w:spacing w:val="-6"/>
          <w:sz w:val="21"/>
        </w:rPr>
        <w:t xml:space="preserve">表规定的投标截止时间至少 </w:t>
      </w:r>
      <w:r>
        <w:rPr>
          <w:rFonts w:ascii="Times New Roman" w:eastAsia="Times New Roman"/>
          <w:color w:val="auto"/>
          <w:sz w:val="21"/>
        </w:rPr>
        <w:t>15</w:t>
      </w:r>
      <w:r>
        <w:rPr>
          <w:rFonts w:ascii="Times New Roman" w:eastAsia="Times New Roman"/>
          <w:color w:val="auto"/>
          <w:spacing w:val="21"/>
          <w:sz w:val="21"/>
        </w:rPr>
        <w:t xml:space="preserve"> </w:t>
      </w:r>
      <w:r>
        <w:rPr>
          <w:color w:val="auto"/>
          <w:spacing w:val="-5"/>
          <w:sz w:val="21"/>
        </w:rPr>
        <w:t xml:space="preserve">日前，在投标人须知前附表规定的媒介发布；不足 </w:t>
      </w:r>
      <w:r>
        <w:rPr>
          <w:rFonts w:ascii="Times New Roman" w:eastAsia="Times New Roman"/>
          <w:color w:val="auto"/>
          <w:sz w:val="21"/>
        </w:rPr>
        <w:t>15</w:t>
      </w:r>
      <w:r>
        <w:rPr>
          <w:rFonts w:ascii="Times New Roman" w:eastAsia="Times New Roman"/>
          <w:color w:val="auto"/>
          <w:spacing w:val="18"/>
          <w:sz w:val="21"/>
        </w:rPr>
        <w:t xml:space="preserve"> </w:t>
      </w:r>
      <w:r>
        <w:rPr>
          <w:color w:val="auto"/>
          <w:spacing w:val="-3"/>
          <w:sz w:val="21"/>
        </w:rPr>
        <w:t>日，相应顺延投标截止时间。</w:t>
      </w:r>
    </w:p>
    <w:p>
      <w:pPr>
        <w:pStyle w:val="44"/>
        <w:numPr>
          <w:ilvl w:val="2"/>
          <w:numId w:val="3"/>
        </w:numPr>
        <w:tabs>
          <w:tab w:val="left" w:pos="1132"/>
        </w:tabs>
        <w:ind w:left="1131" w:hanging="474"/>
        <w:jc w:val="both"/>
        <w:rPr>
          <w:color w:val="auto"/>
          <w:sz w:val="21"/>
        </w:rPr>
      </w:pPr>
      <w:r>
        <w:rPr>
          <w:color w:val="auto"/>
          <w:spacing w:val="-3"/>
          <w:sz w:val="21"/>
        </w:rPr>
        <w:t>招标文件澄清或者修改的内容由投标人在投标人须知前附表规定的媒介上自行查阅。</w:t>
      </w:r>
    </w:p>
    <w:p>
      <w:pPr>
        <w:pStyle w:val="40"/>
        <w:numPr>
          <w:ilvl w:val="0"/>
          <w:numId w:val="3"/>
        </w:numPr>
        <w:tabs>
          <w:tab w:val="left" w:pos="452"/>
        </w:tabs>
        <w:spacing w:before="134"/>
        <w:ind w:hanging="214"/>
        <w:rPr>
          <w:color w:val="auto"/>
        </w:rPr>
      </w:pPr>
      <w:bookmarkStart w:id="42" w:name="3.投标文件"/>
      <w:bookmarkEnd w:id="42"/>
      <w:r>
        <w:rPr>
          <w:color w:val="auto"/>
        </w:rPr>
        <w:t>投标文件</w:t>
      </w:r>
    </w:p>
    <w:p>
      <w:pPr>
        <w:pStyle w:val="42"/>
        <w:numPr>
          <w:ilvl w:val="1"/>
          <w:numId w:val="3"/>
        </w:numPr>
        <w:tabs>
          <w:tab w:val="left" w:pos="659"/>
        </w:tabs>
        <w:spacing w:before="188"/>
        <w:ind w:left="658" w:hanging="421"/>
        <w:rPr>
          <w:rFonts w:ascii="Times New Roman" w:eastAsia="Times New Roman"/>
          <w:color w:val="auto"/>
        </w:rPr>
      </w:pPr>
      <w:bookmarkStart w:id="43" w:name="3.1_投标文件的组成"/>
      <w:bookmarkEnd w:id="43"/>
      <w:r>
        <w:rPr>
          <w:color w:val="auto"/>
        </w:rPr>
        <w:t>投标文件的组成</w:t>
      </w:r>
    </w:p>
    <w:p>
      <w:pPr>
        <w:pStyle w:val="44"/>
        <w:numPr>
          <w:ilvl w:val="2"/>
          <w:numId w:val="3"/>
        </w:numPr>
        <w:tabs>
          <w:tab w:val="left" w:pos="1293"/>
        </w:tabs>
        <w:spacing w:before="161" w:line="364" w:lineRule="auto"/>
        <w:ind w:right="212" w:firstLine="420"/>
        <w:jc w:val="both"/>
        <w:rPr>
          <w:color w:val="auto"/>
          <w:sz w:val="21"/>
        </w:rPr>
      </w:pPr>
      <w:r>
        <w:rPr>
          <w:color w:val="auto"/>
          <w:spacing w:val="-4"/>
          <w:sz w:val="21"/>
        </w:rPr>
        <w:t>投标文件由</w:t>
      </w:r>
      <w:r>
        <w:rPr>
          <w:rFonts w:hint="eastAsia"/>
          <w:color w:val="auto"/>
          <w:spacing w:val="-4"/>
          <w:sz w:val="21"/>
        </w:rPr>
        <w:t>投标函和</w:t>
      </w:r>
      <w:r>
        <w:rPr>
          <w:color w:val="auto"/>
          <w:spacing w:val="-4"/>
          <w:sz w:val="21"/>
        </w:rPr>
        <w:t>商务标和技术标部分内容以及投标人须知前附表规定的其他资料组成，具</w:t>
      </w:r>
      <w:r>
        <w:rPr>
          <w:color w:val="auto"/>
          <w:spacing w:val="-3"/>
          <w:sz w:val="21"/>
        </w:rPr>
        <w:t>体内容详见第七章投标文件格式</w:t>
      </w:r>
      <w:r>
        <w:rPr>
          <w:b/>
          <w:color w:val="auto"/>
          <w:sz w:val="21"/>
        </w:rPr>
        <w:t>（</w:t>
      </w:r>
      <w:r>
        <w:rPr>
          <w:rFonts w:hint="eastAsia"/>
          <w:b/>
          <w:color w:val="auto"/>
          <w:sz w:val="21"/>
        </w:rPr>
        <w:t>投标函、</w:t>
      </w:r>
      <w:r>
        <w:rPr>
          <w:b/>
          <w:color w:val="auto"/>
          <w:spacing w:val="-2"/>
          <w:sz w:val="21"/>
        </w:rPr>
        <w:t>商务标和技术标分册上传</w:t>
      </w:r>
      <w:r>
        <w:rPr>
          <w:b/>
          <w:color w:val="auto"/>
          <w:sz w:val="21"/>
        </w:rPr>
        <w:t>）</w:t>
      </w:r>
      <w:r>
        <w:rPr>
          <w:color w:val="auto"/>
          <w:sz w:val="21"/>
        </w:rPr>
        <w:t>。</w:t>
      </w:r>
    </w:p>
    <w:p>
      <w:pPr>
        <w:pStyle w:val="44"/>
        <w:numPr>
          <w:ilvl w:val="2"/>
          <w:numId w:val="3"/>
        </w:numPr>
        <w:tabs>
          <w:tab w:val="left" w:pos="1293"/>
        </w:tabs>
        <w:spacing w:line="364" w:lineRule="auto"/>
        <w:ind w:right="213" w:firstLine="420"/>
        <w:jc w:val="both"/>
        <w:rPr>
          <w:color w:val="auto"/>
          <w:sz w:val="21"/>
        </w:rPr>
      </w:pPr>
      <w:r>
        <w:rPr>
          <w:color w:val="auto"/>
          <w:spacing w:val="-4"/>
          <w:sz w:val="21"/>
        </w:rPr>
        <w:t>投标人须知前附表规定不接受联合体投标的，或投标人没有组成联合体的，投标文件不</w:t>
      </w:r>
      <w:r>
        <w:rPr>
          <w:color w:val="auto"/>
          <w:spacing w:val="-3"/>
          <w:sz w:val="21"/>
        </w:rPr>
        <w:t>包括联合体协议书。</w:t>
      </w:r>
    </w:p>
    <w:p>
      <w:pPr>
        <w:pStyle w:val="42"/>
        <w:numPr>
          <w:ilvl w:val="1"/>
          <w:numId w:val="3"/>
        </w:numPr>
        <w:tabs>
          <w:tab w:val="left" w:pos="659"/>
        </w:tabs>
        <w:ind w:left="658" w:hanging="421"/>
        <w:rPr>
          <w:rFonts w:ascii="Times New Roman" w:eastAsia="Times New Roman"/>
          <w:color w:val="auto"/>
        </w:rPr>
      </w:pPr>
      <w:bookmarkStart w:id="44" w:name="3.2_投标报价"/>
      <w:bookmarkEnd w:id="44"/>
      <w:r>
        <w:rPr>
          <w:color w:val="auto"/>
        </w:rPr>
        <w:t>投标报价</w:t>
      </w:r>
    </w:p>
    <w:p>
      <w:pPr>
        <w:pStyle w:val="44"/>
        <w:numPr>
          <w:ilvl w:val="2"/>
          <w:numId w:val="3"/>
        </w:numPr>
        <w:tabs>
          <w:tab w:val="left" w:pos="1185"/>
        </w:tabs>
        <w:spacing w:before="158"/>
        <w:ind w:left="1184" w:hanging="527"/>
        <w:rPr>
          <w:color w:val="auto"/>
          <w:sz w:val="21"/>
        </w:rPr>
      </w:pPr>
      <w:r>
        <w:rPr>
          <w:color w:val="auto"/>
          <w:spacing w:val="-3"/>
          <w:sz w:val="21"/>
        </w:rPr>
        <w:t>投标人应按的要求填写相应表格。</w:t>
      </w:r>
    </w:p>
    <w:p>
      <w:pPr>
        <w:pStyle w:val="44"/>
        <w:numPr>
          <w:ilvl w:val="2"/>
          <w:numId w:val="3"/>
        </w:numPr>
        <w:tabs>
          <w:tab w:val="left" w:pos="1185"/>
        </w:tabs>
        <w:spacing w:before="138" w:line="367" w:lineRule="auto"/>
        <w:ind w:right="212" w:firstLine="420"/>
        <w:rPr>
          <w:color w:val="auto"/>
          <w:sz w:val="21"/>
        </w:rPr>
      </w:pPr>
      <w:r>
        <w:rPr>
          <w:color w:val="auto"/>
          <w:spacing w:val="-8"/>
          <w:sz w:val="21"/>
        </w:rPr>
        <w:t>投标人应充分了解施工场地的位置、周边环境、道路、装卸、保管、安装限制以及影响投</w:t>
      </w:r>
      <w:r>
        <w:rPr>
          <w:color w:val="auto"/>
          <w:spacing w:val="-5"/>
          <w:sz w:val="21"/>
        </w:rPr>
        <w:t>标报价的其他要素。投标人根据投标设计，结合市场情况进行投标报价。</w:t>
      </w:r>
    </w:p>
    <w:p>
      <w:pPr>
        <w:pStyle w:val="44"/>
        <w:numPr>
          <w:ilvl w:val="2"/>
          <w:numId w:val="7"/>
        </w:numPr>
        <w:tabs>
          <w:tab w:val="left" w:pos="1185"/>
        </w:tabs>
        <w:spacing w:line="364" w:lineRule="auto"/>
        <w:ind w:right="209" w:firstLine="420"/>
        <w:rPr>
          <w:color w:val="auto"/>
          <w:sz w:val="21"/>
        </w:rPr>
      </w:pPr>
      <w:r>
        <w:rPr>
          <w:color w:val="auto"/>
          <w:spacing w:val="-7"/>
          <w:sz w:val="21"/>
        </w:rPr>
        <w:t>招标人设有最高投标限价的，投标人的投标报价不得超过最高投标限价，最高投标限价或</w:t>
      </w:r>
      <w:r>
        <w:rPr>
          <w:color w:val="auto"/>
          <w:spacing w:val="-5"/>
          <w:sz w:val="21"/>
        </w:rPr>
        <w:t>其计算方法在投标人须知前附表中载明。</w:t>
      </w:r>
    </w:p>
    <w:p>
      <w:pPr>
        <w:pStyle w:val="44"/>
        <w:numPr>
          <w:ilvl w:val="2"/>
          <w:numId w:val="7"/>
        </w:numPr>
        <w:tabs>
          <w:tab w:val="left" w:pos="1185"/>
        </w:tabs>
        <w:spacing w:line="267" w:lineRule="exact"/>
        <w:ind w:left="1184" w:hanging="527"/>
        <w:rPr>
          <w:color w:val="auto"/>
          <w:sz w:val="21"/>
        </w:rPr>
      </w:pPr>
      <w:r>
        <w:rPr>
          <w:color w:val="auto"/>
          <w:spacing w:val="-3"/>
          <w:sz w:val="21"/>
        </w:rPr>
        <w:t>投标报价的其他要求见投标人须知前附表。</w:t>
      </w:r>
    </w:p>
    <w:p>
      <w:pPr>
        <w:spacing w:line="267" w:lineRule="exact"/>
        <w:rPr>
          <w:color w:val="auto"/>
          <w:sz w:val="21"/>
        </w:rPr>
        <w:sectPr>
          <w:pgSz w:w="11910" w:h="16850"/>
          <w:pgMar w:top="1480" w:right="1200" w:bottom="1060" w:left="1180" w:header="0" w:footer="800" w:gutter="0"/>
          <w:cols w:space="720" w:num="1"/>
        </w:sectPr>
      </w:pPr>
    </w:p>
    <w:p>
      <w:pPr>
        <w:pStyle w:val="42"/>
        <w:numPr>
          <w:ilvl w:val="1"/>
          <w:numId w:val="3"/>
        </w:numPr>
        <w:tabs>
          <w:tab w:val="left" w:pos="659"/>
        </w:tabs>
        <w:spacing w:before="63"/>
        <w:ind w:left="658" w:hanging="421"/>
        <w:rPr>
          <w:rFonts w:ascii="Times New Roman" w:eastAsia="Times New Roman"/>
          <w:color w:val="auto"/>
        </w:rPr>
      </w:pPr>
      <w:bookmarkStart w:id="45" w:name="3.3_投标有效期"/>
      <w:bookmarkEnd w:id="45"/>
      <w:r>
        <w:rPr>
          <w:color w:val="auto"/>
        </w:rPr>
        <w:t>投标有效期</w:t>
      </w:r>
    </w:p>
    <w:p>
      <w:pPr>
        <w:pStyle w:val="44"/>
        <w:numPr>
          <w:ilvl w:val="2"/>
          <w:numId w:val="3"/>
        </w:numPr>
        <w:tabs>
          <w:tab w:val="left" w:pos="1290"/>
        </w:tabs>
        <w:spacing w:before="160"/>
        <w:ind w:left="1290" w:hanging="632"/>
        <w:jc w:val="both"/>
        <w:rPr>
          <w:color w:val="auto"/>
          <w:sz w:val="21"/>
        </w:rPr>
      </w:pPr>
      <w:r>
        <w:rPr>
          <w:color w:val="auto"/>
          <w:spacing w:val="-3"/>
          <w:sz w:val="21"/>
        </w:rPr>
        <w:t>在投标人须知前附表规定的投标有效期内，投标人不得要求撤销或修改其投标文件。</w:t>
      </w:r>
    </w:p>
    <w:p>
      <w:pPr>
        <w:pStyle w:val="44"/>
        <w:numPr>
          <w:ilvl w:val="2"/>
          <w:numId w:val="3"/>
        </w:numPr>
        <w:tabs>
          <w:tab w:val="left" w:pos="1293"/>
        </w:tabs>
        <w:spacing w:before="141" w:line="364" w:lineRule="auto"/>
        <w:ind w:right="210" w:firstLine="420"/>
        <w:jc w:val="both"/>
        <w:rPr>
          <w:color w:val="auto"/>
          <w:sz w:val="21"/>
        </w:rPr>
      </w:pPr>
      <w:r>
        <w:rPr>
          <w:color w:val="auto"/>
          <w:spacing w:val="-4"/>
          <w:sz w:val="21"/>
        </w:rPr>
        <w:t>出现特殊情况需要延长投标有效期的，招标人以书面形式通知所有投标人延长投标有效期。投标人同意延长的，应相应延长其投标保证的有效期，且不得要求或被允许修改或撤销其投标</w:t>
      </w:r>
      <w:r>
        <w:rPr>
          <w:color w:val="auto"/>
          <w:spacing w:val="-3"/>
          <w:sz w:val="21"/>
        </w:rPr>
        <w:t>文件；投标人拒绝延长的，其投标失效，投标人有权收回其投标保证。</w:t>
      </w:r>
    </w:p>
    <w:p>
      <w:pPr>
        <w:pStyle w:val="42"/>
        <w:numPr>
          <w:ilvl w:val="1"/>
          <w:numId w:val="3"/>
        </w:numPr>
        <w:tabs>
          <w:tab w:val="left" w:pos="420"/>
        </w:tabs>
        <w:spacing w:line="303" w:lineRule="exact"/>
        <w:ind w:left="1138" w:right="7425" w:hanging="1139"/>
        <w:jc w:val="right"/>
        <w:rPr>
          <w:rFonts w:ascii="Times New Roman" w:eastAsia="Times New Roman"/>
          <w:color w:val="auto"/>
        </w:rPr>
      </w:pPr>
      <w:bookmarkStart w:id="46" w:name="3.4_投标保证"/>
      <w:bookmarkEnd w:id="46"/>
      <w:r>
        <w:rPr>
          <w:color w:val="auto"/>
        </w:rPr>
        <w:t>投标保证</w:t>
      </w:r>
    </w:p>
    <w:p>
      <w:pPr>
        <w:pStyle w:val="44"/>
        <w:numPr>
          <w:ilvl w:val="2"/>
          <w:numId w:val="3"/>
        </w:numPr>
        <w:tabs>
          <w:tab w:val="left" w:pos="1185"/>
        </w:tabs>
        <w:spacing w:before="162" w:line="364" w:lineRule="auto"/>
        <w:ind w:right="209" w:firstLine="420"/>
        <w:jc w:val="both"/>
        <w:rPr>
          <w:color w:val="auto"/>
          <w:sz w:val="21"/>
        </w:rPr>
      </w:pPr>
      <w:r>
        <w:rPr>
          <w:color w:val="auto"/>
          <w:spacing w:val="-7"/>
          <w:sz w:val="21"/>
        </w:rPr>
        <w:t>投标人在递交投标文件的同时，应当按照投标人须知前附表的规定递交投标担保，并作为</w:t>
      </w:r>
      <w:r>
        <w:rPr>
          <w:color w:val="auto"/>
          <w:spacing w:val="-5"/>
          <w:sz w:val="21"/>
        </w:rPr>
        <w:t>投标文件的组成部分。</w:t>
      </w:r>
    </w:p>
    <w:p>
      <w:pPr>
        <w:pStyle w:val="44"/>
        <w:numPr>
          <w:ilvl w:val="2"/>
          <w:numId w:val="3"/>
        </w:numPr>
        <w:tabs>
          <w:tab w:val="left" w:pos="1290"/>
        </w:tabs>
        <w:spacing w:line="268" w:lineRule="exact"/>
        <w:ind w:left="1290" w:hanging="632"/>
        <w:jc w:val="both"/>
        <w:rPr>
          <w:color w:val="auto"/>
          <w:sz w:val="21"/>
        </w:rPr>
      </w:pPr>
      <w:r>
        <w:rPr>
          <w:color w:val="auto"/>
          <w:spacing w:val="-8"/>
          <w:sz w:val="21"/>
        </w:rPr>
        <w:t xml:space="preserve">投标人不按本须知第 </w:t>
      </w:r>
      <w:r>
        <w:rPr>
          <w:rFonts w:ascii="Times New Roman" w:eastAsia="Times New Roman"/>
          <w:color w:val="auto"/>
          <w:sz w:val="21"/>
        </w:rPr>
        <w:t>3.4.1</w:t>
      </w:r>
      <w:r>
        <w:rPr>
          <w:rFonts w:ascii="Times New Roman" w:eastAsia="Times New Roman"/>
          <w:color w:val="auto"/>
          <w:spacing w:val="2"/>
          <w:sz w:val="21"/>
        </w:rPr>
        <w:t xml:space="preserve"> </w:t>
      </w:r>
      <w:r>
        <w:rPr>
          <w:color w:val="auto"/>
          <w:spacing w:val="-3"/>
          <w:sz w:val="21"/>
        </w:rPr>
        <w:t>项要求提交投标担保的，应当否决其投标。</w:t>
      </w:r>
    </w:p>
    <w:p>
      <w:pPr>
        <w:pStyle w:val="44"/>
        <w:numPr>
          <w:ilvl w:val="2"/>
          <w:numId w:val="3"/>
        </w:numPr>
        <w:tabs>
          <w:tab w:val="left" w:pos="1185"/>
        </w:tabs>
        <w:spacing w:before="139"/>
        <w:ind w:left="1184" w:hanging="527"/>
        <w:jc w:val="both"/>
        <w:rPr>
          <w:color w:val="auto"/>
          <w:sz w:val="21"/>
        </w:rPr>
      </w:pPr>
      <w:r>
        <w:rPr>
          <w:color w:val="auto"/>
          <w:spacing w:val="-6"/>
          <w:sz w:val="21"/>
        </w:rPr>
        <w:t xml:space="preserve">未中标的投标人的投标担保于中标通知书发出之日起 </w:t>
      </w:r>
      <w:r>
        <w:rPr>
          <w:rFonts w:ascii="Times New Roman" w:eastAsia="Times New Roman"/>
          <w:color w:val="auto"/>
          <w:sz w:val="21"/>
        </w:rPr>
        <w:t>5</w:t>
      </w:r>
      <w:r>
        <w:rPr>
          <w:rFonts w:ascii="Times New Roman" w:eastAsia="Times New Roman"/>
          <w:color w:val="auto"/>
          <w:spacing w:val="1"/>
          <w:sz w:val="21"/>
        </w:rPr>
        <w:t xml:space="preserve"> </w:t>
      </w:r>
      <w:r>
        <w:rPr>
          <w:color w:val="auto"/>
          <w:spacing w:val="-3"/>
          <w:sz w:val="21"/>
        </w:rPr>
        <w:t>个工作日内退还。</w:t>
      </w:r>
    </w:p>
    <w:p>
      <w:pPr>
        <w:pStyle w:val="44"/>
        <w:numPr>
          <w:ilvl w:val="2"/>
          <w:numId w:val="3"/>
        </w:numPr>
        <w:tabs>
          <w:tab w:val="left" w:pos="1185"/>
        </w:tabs>
        <w:spacing w:before="141"/>
        <w:ind w:left="1184" w:hanging="527"/>
        <w:jc w:val="both"/>
        <w:rPr>
          <w:color w:val="auto"/>
          <w:sz w:val="21"/>
        </w:rPr>
      </w:pPr>
      <w:r>
        <w:rPr>
          <w:color w:val="auto"/>
          <w:spacing w:val="-6"/>
          <w:sz w:val="21"/>
        </w:rPr>
        <w:t xml:space="preserve">中标人的投标担保在招标人与中标人签订合同后 </w:t>
      </w:r>
      <w:r>
        <w:rPr>
          <w:rFonts w:ascii="Times New Roman" w:eastAsia="Times New Roman"/>
          <w:color w:val="auto"/>
          <w:sz w:val="21"/>
        </w:rPr>
        <w:t xml:space="preserve">5  </w:t>
      </w:r>
      <w:r>
        <w:rPr>
          <w:color w:val="auto"/>
          <w:spacing w:val="-3"/>
          <w:sz w:val="21"/>
        </w:rPr>
        <w:t>个工作日内退还。</w:t>
      </w:r>
    </w:p>
    <w:p>
      <w:pPr>
        <w:pStyle w:val="44"/>
        <w:numPr>
          <w:ilvl w:val="2"/>
          <w:numId w:val="3"/>
        </w:numPr>
        <w:tabs>
          <w:tab w:val="left" w:pos="1132"/>
        </w:tabs>
        <w:spacing w:before="139" w:line="364" w:lineRule="auto"/>
        <w:ind w:right="209" w:firstLine="420"/>
        <w:jc w:val="both"/>
        <w:rPr>
          <w:color w:val="auto"/>
          <w:sz w:val="21"/>
        </w:rPr>
      </w:pPr>
      <w:r>
        <w:rPr>
          <w:color w:val="auto"/>
          <w:spacing w:val="-4"/>
          <w:sz w:val="21"/>
        </w:rPr>
        <w:t>在投标截止时间前撤回已提交的投标文件的投标人的投标担保，自收到投标人书面撤回通</w:t>
      </w:r>
      <w:r>
        <w:rPr>
          <w:color w:val="auto"/>
          <w:spacing w:val="-13"/>
          <w:sz w:val="21"/>
        </w:rPr>
        <w:t xml:space="preserve">知之日起 </w:t>
      </w:r>
      <w:r>
        <w:rPr>
          <w:rFonts w:ascii="Times New Roman" w:eastAsia="Times New Roman"/>
          <w:color w:val="auto"/>
          <w:sz w:val="21"/>
        </w:rPr>
        <w:t>5</w:t>
      </w:r>
      <w:r>
        <w:rPr>
          <w:rFonts w:ascii="Times New Roman" w:eastAsia="Times New Roman"/>
          <w:color w:val="auto"/>
          <w:spacing w:val="-3"/>
          <w:sz w:val="21"/>
        </w:rPr>
        <w:t xml:space="preserve"> </w:t>
      </w:r>
      <w:r>
        <w:rPr>
          <w:color w:val="auto"/>
          <w:spacing w:val="-3"/>
          <w:sz w:val="21"/>
        </w:rPr>
        <w:t>个工作日内退还；</w:t>
      </w:r>
    </w:p>
    <w:p>
      <w:pPr>
        <w:pStyle w:val="44"/>
        <w:numPr>
          <w:ilvl w:val="2"/>
          <w:numId w:val="3"/>
        </w:numPr>
        <w:tabs>
          <w:tab w:val="left" w:pos="1185"/>
        </w:tabs>
        <w:spacing w:line="367" w:lineRule="auto"/>
        <w:ind w:right="209" w:firstLine="420"/>
        <w:jc w:val="both"/>
        <w:rPr>
          <w:color w:val="auto"/>
          <w:sz w:val="21"/>
        </w:rPr>
      </w:pPr>
      <w:r>
        <w:rPr>
          <w:color w:val="auto"/>
          <w:spacing w:val="-6"/>
          <w:sz w:val="21"/>
        </w:rPr>
        <w:t>不接受招标人延长投标有效期的投标人的投标担保，自收到投标人不予接受延长投标有效</w:t>
      </w:r>
      <w:r>
        <w:rPr>
          <w:color w:val="auto"/>
          <w:spacing w:val="-9"/>
          <w:sz w:val="21"/>
        </w:rPr>
        <w:t xml:space="preserve">期的书面通知之日起 </w:t>
      </w:r>
      <w:r>
        <w:rPr>
          <w:rFonts w:ascii="Times New Roman" w:eastAsia="Times New Roman"/>
          <w:color w:val="auto"/>
          <w:sz w:val="21"/>
        </w:rPr>
        <w:t xml:space="preserve">5 </w:t>
      </w:r>
      <w:r>
        <w:rPr>
          <w:color w:val="auto"/>
          <w:spacing w:val="-3"/>
          <w:sz w:val="21"/>
        </w:rPr>
        <w:t>个工作日内退还。</w:t>
      </w:r>
    </w:p>
    <w:p>
      <w:pPr>
        <w:pStyle w:val="44"/>
        <w:numPr>
          <w:ilvl w:val="2"/>
          <w:numId w:val="3"/>
        </w:numPr>
        <w:tabs>
          <w:tab w:val="left" w:pos="1185"/>
        </w:tabs>
        <w:spacing w:line="364" w:lineRule="auto"/>
        <w:ind w:right="145" w:firstLine="420"/>
        <w:jc w:val="both"/>
        <w:rPr>
          <w:color w:val="auto"/>
          <w:sz w:val="21"/>
        </w:rPr>
      </w:pPr>
      <w:r>
        <w:rPr>
          <w:color w:val="auto"/>
          <w:spacing w:val="-3"/>
          <w:sz w:val="21"/>
        </w:rPr>
        <w:t>有下列情形之一的，将对投标人以现金形式提交的投标担保不予退还；采用投标承诺的， 将提请住房城乡建设主管部门给予投标人不良行为记录；采用保函的，将要求保函开立人支付经济补偿金。</w:t>
      </w:r>
    </w:p>
    <w:p>
      <w:pPr>
        <w:pStyle w:val="44"/>
        <w:numPr>
          <w:ilvl w:val="0"/>
          <w:numId w:val="8"/>
        </w:numPr>
        <w:tabs>
          <w:tab w:val="left" w:pos="1188"/>
        </w:tabs>
        <w:spacing w:line="267" w:lineRule="exact"/>
        <w:ind w:hanging="530"/>
        <w:rPr>
          <w:color w:val="auto"/>
          <w:sz w:val="21"/>
        </w:rPr>
      </w:pPr>
      <w:r>
        <w:rPr>
          <w:color w:val="auto"/>
          <w:spacing w:val="-3"/>
          <w:sz w:val="21"/>
        </w:rPr>
        <w:t>投标人在规定的投标有效期内撤销或修改其投标文件；</w:t>
      </w:r>
    </w:p>
    <w:p>
      <w:pPr>
        <w:pStyle w:val="44"/>
        <w:numPr>
          <w:ilvl w:val="0"/>
          <w:numId w:val="8"/>
        </w:numPr>
        <w:tabs>
          <w:tab w:val="left" w:pos="1188"/>
        </w:tabs>
        <w:spacing w:before="134" w:line="364" w:lineRule="auto"/>
        <w:ind w:left="238" w:right="210" w:firstLine="420"/>
        <w:rPr>
          <w:color w:val="auto"/>
          <w:sz w:val="21"/>
        </w:rPr>
      </w:pPr>
      <w:r>
        <w:rPr>
          <w:color w:val="auto"/>
          <w:spacing w:val="-6"/>
          <w:sz w:val="21"/>
        </w:rPr>
        <w:t xml:space="preserve">投标人被确定为中标人后，无正当理由不与招标人订立合同，或者在签订合同时向招标 </w:t>
      </w:r>
      <w:r>
        <w:rPr>
          <w:color w:val="auto"/>
          <w:spacing w:val="-3"/>
          <w:sz w:val="21"/>
        </w:rPr>
        <w:t>人提出附加条件，或者不按招标文件要求提交履约担保。</w:t>
      </w:r>
    </w:p>
    <w:p>
      <w:pPr>
        <w:pStyle w:val="42"/>
        <w:numPr>
          <w:ilvl w:val="1"/>
          <w:numId w:val="3"/>
        </w:numPr>
        <w:tabs>
          <w:tab w:val="left" w:pos="360"/>
        </w:tabs>
        <w:spacing w:line="304" w:lineRule="exact"/>
        <w:ind w:right="7485" w:hanging="599"/>
        <w:jc w:val="right"/>
        <w:rPr>
          <w:rFonts w:ascii="Times New Roman" w:eastAsia="Times New Roman"/>
          <w:color w:val="auto"/>
        </w:rPr>
      </w:pPr>
      <w:bookmarkStart w:id="47" w:name="3.5资格审查资料"/>
      <w:bookmarkEnd w:id="47"/>
      <w:r>
        <w:rPr>
          <w:color w:val="auto"/>
        </w:rPr>
        <w:t>资格审查资料</w:t>
      </w:r>
    </w:p>
    <w:p>
      <w:pPr>
        <w:pStyle w:val="8"/>
        <w:spacing w:before="162" w:line="364" w:lineRule="auto"/>
        <w:ind w:left="238" w:right="209" w:firstLine="420"/>
        <w:jc w:val="both"/>
        <w:rPr>
          <w:color w:val="auto"/>
        </w:rPr>
      </w:pPr>
      <w:bookmarkStart w:id="48" w:name="采用资格预审方式的，_投标人在编制投标文件时，应按新情况更新或补充其在申请资格预"/>
      <w:bookmarkEnd w:id="48"/>
      <w:r>
        <w:rPr>
          <w:color w:val="auto"/>
          <w:spacing w:val="-5"/>
        </w:rPr>
        <w:t>采用资格预审方式的， 投标人在编制投标文件时，应按新情况更新或补充其在申请资格预审时</w:t>
      </w:r>
      <w:r>
        <w:rPr>
          <w:color w:val="auto"/>
          <w:spacing w:val="-6"/>
        </w:rPr>
        <w:t>提供的资料，以证实其各项资格条件仍能继续满足资格预审文件的要求，具备承担本招标项目的资</w:t>
      </w:r>
      <w:r>
        <w:rPr>
          <w:color w:val="auto"/>
          <w:spacing w:val="-3"/>
        </w:rPr>
        <w:t>质条件、能力和信誉。</w:t>
      </w:r>
    </w:p>
    <w:p>
      <w:pPr>
        <w:pStyle w:val="8"/>
        <w:spacing w:line="267" w:lineRule="exact"/>
        <w:ind w:left="658"/>
        <w:jc w:val="both"/>
        <w:rPr>
          <w:color w:val="auto"/>
        </w:rPr>
      </w:pPr>
      <w:bookmarkStart w:id="49" w:name="采用资格后审方式的，按照本须知第1.4.1项的规定提交资格审查资料。"/>
      <w:bookmarkEnd w:id="49"/>
      <w:r>
        <w:rPr>
          <w:color w:val="auto"/>
        </w:rPr>
        <w:t xml:space="preserve">采用资格后审方式的，按照本须知第 </w:t>
      </w:r>
      <w:r>
        <w:rPr>
          <w:rFonts w:ascii="Times New Roman" w:eastAsia="Times New Roman"/>
          <w:color w:val="auto"/>
        </w:rPr>
        <w:t xml:space="preserve">1.4.1 </w:t>
      </w:r>
      <w:r>
        <w:rPr>
          <w:color w:val="auto"/>
        </w:rPr>
        <w:t>项的规定提交资格审查资料。</w:t>
      </w:r>
    </w:p>
    <w:p>
      <w:pPr>
        <w:pStyle w:val="42"/>
        <w:numPr>
          <w:ilvl w:val="1"/>
          <w:numId w:val="3"/>
        </w:numPr>
        <w:tabs>
          <w:tab w:val="left" w:pos="659"/>
        </w:tabs>
        <w:spacing w:before="138"/>
        <w:ind w:left="658" w:hanging="421"/>
        <w:rPr>
          <w:rFonts w:ascii="Times New Roman" w:eastAsia="Times New Roman"/>
          <w:color w:val="auto"/>
        </w:rPr>
      </w:pPr>
      <w:bookmarkStart w:id="50" w:name="3.6_备选投标方案"/>
      <w:bookmarkEnd w:id="50"/>
      <w:r>
        <w:rPr>
          <w:color w:val="auto"/>
        </w:rPr>
        <w:t>备选投标方案</w:t>
      </w:r>
    </w:p>
    <w:p>
      <w:pPr>
        <w:pStyle w:val="8"/>
        <w:spacing w:before="161" w:line="364" w:lineRule="auto"/>
        <w:ind w:left="238" w:right="210" w:firstLine="420"/>
        <w:jc w:val="both"/>
        <w:rPr>
          <w:color w:val="auto"/>
        </w:rPr>
      </w:pPr>
      <w:r>
        <w:rPr>
          <w:color w:val="auto"/>
          <w:spacing w:val="-4"/>
        </w:rPr>
        <w:t>除投标人须知前附表另有规定外，投标人不得递交备选投标方案。允许投标人递交备选投标方案的，只有中标人所递交的备选投标方案方可予以考虑。评标委员会认为中标人的备选投标方案优</w:t>
      </w:r>
      <w:r>
        <w:rPr>
          <w:color w:val="auto"/>
          <w:spacing w:val="-3"/>
        </w:rPr>
        <w:t>于其按照招标文件要求编制的投标方案的，招标人可以接受该备选投标方案。</w:t>
      </w:r>
    </w:p>
    <w:p>
      <w:pPr>
        <w:pStyle w:val="42"/>
        <w:numPr>
          <w:ilvl w:val="1"/>
          <w:numId w:val="3"/>
        </w:numPr>
        <w:tabs>
          <w:tab w:val="left" w:pos="659"/>
        </w:tabs>
        <w:spacing w:line="306" w:lineRule="exact"/>
        <w:ind w:left="658" w:hanging="421"/>
        <w:rPr>
          <w:rFonts w:ascii="Times New Roman" w:eastAsia="Times New Roman"/>
          <w:color w:val="auto"/>
        </w:rPr>
      </w:pPr>
      <w:bookmarkStart w:id="51" w:name="3.7_投标文件的编制"/>
      <w:bookmarkEnd w:id="51"/>
      <w:r>
        <w:rPr>
          <w:color w:val="auto"/>
        </w:rPr>
        <w:t>投标文件的编制</w:t>
      </w:r>
    </w:p>
    <w:p>
      <w:pPr>
        <w:pStyle w:val="8"/>
        <w:spacing w:before="161" w:line="364" w:lineRule="auto"/>
        <w:ind w:left="238" w:right="210" w:firstLine="420"/>
        <w:jc w:val="both"/>
        <w:rPr>
          <w:color w:val="auto"/>
          <w:spacing w:val="-4"/>
        </w:rPr>
      </w:pPr>
      <w:bookmarkStart w:id="52" w:name="4.投标"/>
      <w:bookmarkEnd w:id="52"/>
      <w:r>
        <w:rPr>
          <w:rFonts w:hint="eastAsia"/>
          <w:color w:val="auto"/>
          <w:spacing w:val="-4"/>
          <w:lang w:val="en-US"/>
        </w:rPr>
        <w:t>3.7.1、</w:t>
      </w:r>
      <w:r>
        <w:rPr>
          <w:color w:val="auto"/>
          <w:spacing w:val="-4"/>
        </w:rPr>
        <w:t xml:space="preserve">投标文件应按第七章“投标文件格式”进行编写，如有必要，可以增加附页，作为投标文件的组成部分。其中，投标函附录在满足招标文件实质性要求的基础上，可以提出比招标文件要求更有利于招标人的承诺。 </w:t>
      </w:r>
    </w:p>
    <w:p>
      <w:pPr>
        <w:pStyle w:val="8"/>
        <w:spacing w:before="161" w:line="360" w:lineRule="auto"/>
        <w:ind w:left="238" w:right="210" w:firstLine="420"/>
        <w:jc w:val="both"/>
        <w:rPr>
          <w:color w:val="auto"/>
          <w:spacing w:val="-4"/>
        </w:rPr>
      </w:pPr>
      <w:r>
        <w:rPr>
          <w:rFonts w:hint="eastAsia"/>
          <w:color w:val="auto"/>
          <w:spacing w:val="-4"/>
          <w:lang w:val="en-US"/>
        </w:rPr>
        <w:t>3.7.2、</w:t>
      </w:r>
      <w:r>
        <w:rPr>
          <w:color w:val="auto"/>
          <w:spacing w:val="-4"/>
        </w:rPr>
        <w:t xml:space="preserve">投标文件应当对招标文件有关招标范围、投标有效期、工期、质量标准、发包人要求等实质性内容作 出响应。 </w:t>
      </w:r>
    </w:p>
    <w:p>
      <w:pPr>
        <w:pStyle w:val="8"/>
        <w:spacing w:before="161" w:line="360" w:lineRule="auto"/>
        <w:ind w:left="238" w:right="210" w:firstLine="420"/>
        <w:jc w:val="both"/>
        <w:rPr>
          <w:color w:val="auto"/>
          <w:spacing w:val="-4"/>
        </w:rPr>
      </w:pPr>
      <w:r>
        <w:rPr>
          <w:rFonts w:hint="eastAsia"/>
          <w:color w:val="auto"/>
          <w:spacing w:val="-4"/>
          <w:lang w:val="en-US"/>
        </w:rPr>
        <w:t>3.7.3、</w:t>
      </w:r>
      <w:r>
        <w:rPr>
          <w:color w:val="auto"/>
          <w:spacing w:val="-4"/>
        </w:rPr>
        <w:t xml:space="preserve">投标文件的制作应满足以下规定：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1</w:t>
      </w:r>
      <w:r>
        <w:rPr>
          <w:rFonts w:hint="eastAsia"/>
          <w:color w:val="auto"/>
          <w:spacing w:val="-4"/>
        </w:rPr>
        <w:t>）</w:t>
      </w:r>
      <w:r>
        <w:rPr>
          <w:color w:val="auto"/>
          <w:spacing w:val="-4"/>
        </w:rPr>
        <w:t xml:space="preserve">投标文件由投标人岳阳市公共资源交易中心的电子版制作要求编制。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2</w:t>
      </w:r>
      <w:r>
        <w:rPr>
          <w:rFonts w:hint="eastAsia"/>
          <w:color w:val="auto"/>
          <w:spacing w:val="-4"/>
        </w:rPr>
        <w:t>）</w:t>
      </w:r>
      <w:r>
        <w:rPr>
          <w:color w:val="auto"/>
          <w:spacing w:val="-4"/>
        </w:rPr>
        <w:t xml:space="preserve">投标人在编制投标文件时应建立目录。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3</w:t>
      </w:r>
      <w:r>
        <w:rPr>
          <w:rFonts w:hint="eastAsia"/>
          <w:color w:val="auto"/>
          <w:spacing w:val="-4"/>
        </w:rPr>
        <w:t>）</w:t>
      </w:r>
      <w:r>
        <w:rPr>
          <w:color w:val="auto"/>
          <w:spacing w:val="-4"/>
        </w:rPr>
        <w:t xml:space="preserve">投标文件中证明资料的 原件中指“原件的扫描件”。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4</w:t>
      </w:r>
      <w:r>
        <w:rPr>
          <w:rFonts w:hint="eastAsia"/>
          <w:color w:val="auto"/>
          <w:spacing w:val="-4"/>
        </w:rPr>
        <w:t>）</w:t>
      </w:r>
      <w:r>
        <w:rPr>
          <w:color w:val="auto"/>
          <w:spacing w:val="-4"/>
        </w:rPr>
        <w:t xml:space="preserve">第六章“投标文件格式”中要求盖单位章和（或）签字的地方，投标人均应使用 CA 数字证书加盖投标人的单位电子印章和（或）法定代表人的个人电子印章或电子签名章。联合体投标的，投标文件由联合体 牵头人按上述规定加盖联合体牵头人单位电子印章和（或）法定代表人的个人电子印章或电子签名章。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5</w:t>
      </w:r>
      <w:r>
        <w:rPr>
          <w:rFonts w:hint="eastAsia"/>
          <w:color w:val="auto"/>
          <w:spacing w:val="-4"/>
        </w:rPr>
        <w:t>）</w:t>
      </w:r>
      <w:r>
        <w:rPr>
          <w:color w:val="auto"/>
          <w:spacing w:val="-4"/>
        </w:rPr>
        <w:t xml:space="preserve">投标文件制作完成后，投标人应使用 CA 数字证书对投标文件进行文件加密，形成加密的投标文件。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6</w:t>
      </w:r>
      <w:r>
        <w:rPr>
          <w:rFonts w:hint="eastAsia"/>
          <w:color w:val="auto"/>
          <w:spacing w:val="-4"/>
        </w:rPr>
        <w:t>）</w:t>
      </w:r>
      <w:r>
        <w:rPr>
          <w:color w:val="auto"/>
          <w:spacing w:val="-4"/>
        </w:rPr>
        <w:t xml:space="preserve">投标文件制作的具体方法详见“投标文件制作工具”中的帮助文档。 </w:t>
      </w:r>
    </w:p>
    <w:p>
      <w:pPr>
        <w:pStyle w:val="8"/>
        <w:spacing w:before="161" w:line="360" w:lineRule="auto"/>
        <w:ind w:left="238" w:right="210" w:firstLine="420"/>
        <w:jc w:val="both"/>
        <w:rPr>
          <w:color w:val="auto"/>
          <w:spacing w:val="-4"/>
        </w:rPr>
      </w:pPr>
      <w:r>
        <w:rPr>
          <w:rFonts w:hint="eastAsia"/>
          <w:color w:val="auto"/>
          <w:spacing w:val="-4"/>
        </w:rPr>
        <w:t>（</w:t>
      </w:r>
      <w:r>
        <w:rPr>
          <w:rFonts w:hint="eastAsia"/>
          <w:color w:val="auto"/>
          <w:spacing w:val="-4"/>
          <w:lang w:val="en-US"/>
        </w:rPr>
        <w:t>7</w:t>
      </w:r>
      <w:r>
        <w:rPr>
          <w:rFonts w:hint="eastAsia"/>
          <w:color w:val="auto"/>
          <w:spacing w:val="-4"/>
        </w:rPr>
        <w:t>）</w:t>
      </w:r>
      <w:r>
        <w:rPr>
          <w:color w:val="auto"/>
          <w:spacing w:val="-4"/>
        </w:rPr>
        <w:t>因投标人自身原因而导致投标文件无法导入“电子交易平台”电子开标、评标系统，该投标视为无效投标，投标人自行承担由此导致的全部责任。</w:t>
      </w:r>
    </w:p>
    <w:p>
      <w:pPr>
        <w:pStyle w:val="40"/>
        <w:numPr>
          <w:ilvl w:val="0"/>
          <w:numId w:val="3"/>
        </w:numPr>
        <w:tabs>
          <w:tab w:val="left" w:pos="452"/>
        </w:tabs>
        <w:spacing w:line="360" w:lineRule="auto"/>
        <w:ind w:hanging="214"/>
        <w:rPr>
          <w:color w:val="auto"/>
        </w:rPr>
      </w:pPr>
      <w:r>
        <w:rPr>
          <w:color w:val="auto"/>
        </w:rPr>
        <w:t>投标</w:t>
      </w:r>
    </w:p>
    <w:p>
      <w:pPr>
        <w:pStyle w:val="42"/>
        <w:numPr>
          <w:ilvl w:val="1"/>
          <w:numId w:val="3"/>
        </w:numPr>
        <w:tabs>
          <w:tab w:val="left" w:pos="659"/>
        </w:tabs>
        <w:spacing w:before="187" w:line="360" w:lineRule="auto"/>
        <w:ind w:left="658" w:hanging="421"/>
        <w:rPr>
          <w:rFonts w:ascii="Times New Roman" w:eastAsia="Times New Roman"/>
          <w:color w:val="auto"/>
        </w:rPr>
      </w:pPr>
      <w:bookmarkStart w:id="53" w:name="4.1_投标文件的密封和标记"/>
      <w:bookmarkEnd w:id="53"/>
      <w:r>
        <w:rPr>
          <w:color w:val="auto"/>
        </w:rPr>
        <w:t>投标文件的密封和标记</w:t>
      </w:r>
    </w:p>
    <w:p>
      <w:pPr>
        <w:pStyle w:val="8"/>
        <w:tabs>
          <w:tab w:val="left" w:pos="1477"/>
        </w:tabs>
        <w:spacing w:line="360" w:lineRule="auto"/>
        <w:ind w:left="658"/>
        <w:rPr>
          <w:color w:val="auto"/>
        </w:rPr>
      </w:pPr>
      <w:r>
        <w:rPr>
          <w:rFonts w:hint="eastAsia"/>
          <w:color w:val="auto"/>
          <w:lang w:val="en-US"/>
        </w:rPr>
        <w:t xml:space="preserve">4.1.1 </w:t>
      </w:r>
      <w:r>
        <w:rPr>
          <w:color w:val="auto"/>
        </w:rPr>
        <w:t>（A）投标文件应密封包装（分包包装，其中</w:t>
      </w:r>
      <w:r>
        <w:rPr>
          <w:rFonts w:hint="eastAsia"/>
          <w:color w:val="auto"/>
        </w:rPr>
        <w:t>投标函</w:t>
      </w:r>
      <w:r>
        <w:rPr>
          <w:color w:val="auto"/>
        </w:rPr>
        <w:t>文件一包商务投标文件一包，技术投</w:t>
      </w:r>
    </w:p>
    <w:p>
      <w:pPr>
        <w:pStyle w:val="8"/>
        <w:tabs>
          <w:tab w:val="left" w:pos="1477"/>
        </w:tabs>
        <w:spacing w:line="360" w:lineRule="auto"/>
        <w:rPr>
          <w:color w:val="auto"/>
        </w:rPr>
      </w:pPr>
      <w:r>
        <w:rPr>
          <w:color w:val="auto"/>
        </w:rPr>
        <w:t xml:space="preserve">标文件一包），并在封套的封口处加盖投标人单位章或由投标人的法定代表人或其授权的代理人签字。 </w:t>
      </w:r>
    </w:p>
    <w:p>
      <w:pPr>
        <w:pStyle w:val="8"/>
        <w:tabs>
          <w:tab w:val="left" w:pos="1477"/>
        </w:tabs>
        <w:spacing w:line="360" w:lineRule="auto"/>
        <w:rPr>
          <w:color w:val="auto"/>
        </w:rPr>
      </w:pPr>
      <w:r>
        <w:rPr>
          <w:color w:val="auto"/>
        </w:rPr>
        <w:t xml:space="preserve">技术投标文件采用“暗标”评审方式的，施工组织设计的密封应符合招标文件第八章“技术投标文件格式（暗标）”要求。 </w:t>
      </w:r>
    </w:p>
    <w:p>
      <w:pPr>
        <w:pStyle w:val="8"/>
        <w:tabs>
          <w:tab w:val="left" w:pos="1477"/>
        </w:tabs>
        <w:spacing w:line="360" w:lineRule="auto"/>
        <w:ind w:left="658"/>
        <w:rPr>
          <w:color w:val="auto"/>
        </w:rPr>
      </w:pPr>
      <w:r>
        <w:rPr>
          <w:rFonts w:hint="eastAsia"/>
          <w:color w:val="auto"/>
          <w:lang w:val="en-US"/>
        </w:rPr>
        <w:t xml:space="preserve">4.1.1 </w:t>
      </w:r>
      <w:r>
        <w:rPr>
          <w:color w:val="auto"/>
        </w:rPr>
        <w:t>（B）投标人应当按照招标文件和电子招标投标交易平台的要求加密投标文件，具体要求</w:t>
      </w:r>
    </w:p>
    <w:p>
      <w:pPr>
        <w:pStyle w:val="8"/>
        <w:tabs>
          <w:tab w:val="left" w:pos="1477"/>
        </w:tabs>
        <w:spacing w:line="360" w:lineRule="auto"/>
        <w:rPr>
          <w:color w:val="auto"/>
        </w:rPr>
      </w:pPr>
      <w:r>
        <w:rPr>
          <w:color w:val="auto"/>
        </w:rPr>
        <w:t xml:space="preserve">见投标人须知前附表。 </w:t>
      </w:r>
    </w:p>
    <w:p>
      <w:pPr>
        <w:pStyle w:val="8"/>
        <w:tabs>
          <w:tab w:val="left" w:pos="1477"/>
        </w:tabs>
        <w:spacing w:line="360" w:lineRule="auto"/>
        <w:ind w:left="658"/>
        <w:rPr>
          <w:color w:val="auto"/>
        </w:rPr>
      </w:pPr>
      <w:r>
        <w:rPr>
          <w:rFonts w:hint="eastAsia"/>
          <w:color w:val="auto"/>
          <w:lang w:val="en-US"/>
        </w:rPr>
        <w:t xml:space="preserve">4.1.2 </w:t>
      </w:r>
      <w:r>
        <w:rPr>
          <w:color w:val="auto"/>
        </w:rPr>
        <w:t xml:space="preserve">投标文件的封套上应写明的内容见投标人须知前附表。 </w:t>
      </w:r>
    </w:p>
    <w:p>
      <w:pPr>
        <w:pStyle w:val="8"/>
        <w:tabs>
          <w:tab w:val="left" w:pos="1477"/>
        </w:tabs>
        <w:spacing w:line="360" w:lineRule="auto"/>
        <w:ind w:left="658"/>
        <w:rPr>
          <w:color w:val="auto"/>
        </w:rPr>
      </w:pPr>
      <w:r>
        <w:rPr>
          <w:rFonts w:hint="eastAsia"/>
          <w:color w:val="auto"/>
          <w:lang w:val="en-US"/>
        </w:rPr>
        <w:t xml:space="preserve">4.1.3 </w:t>
      </w:r>
      <w:r>
        <w:rPr>
          <w:color w:val="auto"/>
        </w:rPr>
        <w:t xml:space="preserve">未按本章第 4.1.1 项要求密封的投标文件，招标人将予以拒收。 </w:t>
      </w:r>
    </w:p>
    <w:p>
      <w:pPr>
        <w:pStyle w:val="42"/>
        <w:numPr>
          <w:ilvl w:val="1"/>
          <w:numId w:val="3"/>
        </w:numPr>
        <w:tabs>
          <w:tab w:val="left" w:pos="659"/>
        </w:tabs>
        <w:spacing w:before="138" w:line="360" w:lineRule="auto"/>
        <w:ind w:left="658" w:hanging="421"/>
        <w:rPr>
          <w:rFonts w:ascii="Times New Roman" w:eastAsia="Times New Roman"/>
          <w:color w:val="auto"/>
        </w:rPr>
      </w:pPr>
      <w:bookmarkStart w:id="54" w:name="4.2_投标文件的递交"/>
      <w:bookmarkEnd w:id="54"/>
      <w:r>
        <w:rPr>
          <w:color w:val="auto"/>
        </w:rPr>
        <w:t>投标文件的递交</w:t>
      </w:r>
    </w:p>
    <w:p>
      <w:pPr>
        <w:spacing w:line="360" w:lineRule="auto"/>
        <w:ind w:firstLine="420" w:firstLineChars="200"/>
        <w:rPr>
          <w:color w:val="auto"/>
          <w:sz w:val="21"/>
          <w:szCs w:val="21"/>
        </w:rPr>
      </w:pPr>
      <w:bookmarkStart w:id="55" w:name="4.3_投标文件的修改与撤回"/>
      <w:bookmarkEnd w:id="55"/>
      <w:r>
        <w:rPr>
          <w:rFonts w:hint="eastAsia"/>
          <w:color w:val="auto"/>
          <w:sz w:val="21"/>
          <w:szCs w:val="21"/>
          <w:lang w:val="en-US"/>
        </w:rPr>
        <w:t>4.2.1</w:t>
      </w:r>
      <w:r>
        <w:rPr>
          <w:color w:val="auto"/>
          <w:sz w:val="21"/>
          <w:szCs w:val="21"/>
        </w:rPr>
        <w:t xml:space="preserve">投标人应在第 2.2.2 项规定的投标截止时间前递交投标文件。 </w:t>
      </w:r>
    </w:p>
    <w:p>
      <w:pPr>
        <w:spacing w:line="360" w:lineRule="auto"/>
        <w:ind w:firstLine="420" w:firstLineChars="200"/>
        <w:rPr>
          <w:color w:val="auto"/>
          <w:sz w:val="21"/>
          <w:szCs w:val="21"/>
        </w:rPr>
      </w:pPr>
      <w:r>
        <w:rPr>
          <w:rFonts w:hint="eastAsia"/>
          <w:color w:val="auto"/>
          <w:sz w:val="21"/>
          <w:szCs w:val="21"/>
          <w:lang w:val="en-US"/>
        </w:rPr>
        <w:t>4.2.2</w:t>
      </w:r>
      <w:r>
        <w:rPr>
          <w:color w:val="auto"/>
          <w:sz w:val="21"/>
          <w:szCs w:val="21"/>
        </w:rPr>
        <w:t xml:space="preserve">投标人递交投标文件的地点：见投标人须知前附表。 </w:t>
      </w:r>
    </w:p>
    <w:p>
      <w:pPr>
        <w:spacing w:line="360" w:lineRule="auto"/>
        <w:ind w:firstLine="420" w:firstLineChars="200"/>
        <w:rPr>
          <w:color w:val="auto"/>
          <w:sz w:val="21"/>
          <w:szCs w:val="21"/>
        </w:rPr>
      </w:pPr>
      <w:r>
        <w:rPr>
          <w:rFonts w:hint="eastAsia"/>
          <w:color w:val="auto"/>
          <w:sz w:val="21"/>
          <w:szCs w:val="21"/>
          <w:lang w:val="en-US"/>
        </w:rPr>
        <w:t>4.2.3</w:t>
      </w:r>
      <w:r>
        <w:rPr>
          <w:color w:val="auto"/>
          <w:sz w:val="21"/>
          <w:szCs w:val="21"/>
        </w:rPr>
        <w:t xml:space="preserve">招标人收到投标文件后，向投标人出具签收凭证。 </w:t>
      </w:r>
    </w:p>
    <w:p>
      <w:pPr>
        <w:spacing w:line="360" w:lineRule="auto"/>
        <w:ind w:firstLine="420" w:firstLineChars="200"/>
        <w:rPr>
          <w:color w:val="auto"/>
        </w:rPr>
      </w:pPr>
      <w:r>
        <w:rPr>
          <w:rFonts w:hint="eastAsia"/>
          <w:color w:val="auto"/>
          <w:sz w:val="21"/>
          <w:szCs w:val="21"/>
          <w:lang w:val="en-US"/>
        </w:rPr>
        <w:t>4.2.4</w:t>
      </w:r>
      <w:r>
        <w:rPr>
          <w:color w:val="auto"/>
          <w:sz w:val="21"/>
          <w:szCs w:val="21"/>
        </w:rPr>
        <w:t>逾期送达的或者未送达指定地点（或电子平台）的投标文件，招标人不予受理。</w:t>
      </w:r>
      <w:r>
        <w:rPr>
          <w:color w:val="auto"/>
        </w:rPr>
        <w:t xml:space="preserve"> </w:t>
      </w:r>
    </w:p>
    <w:p>
      <w:pPr>
        <w:pStyle w:val="42"/>
        <w:numPr>
          <w:ilvl w:val="1"/>
          <w:numId w:val="3"/>
        </w:numPr>
        <w:tabs>
          <w:tab w:val="left" w:pos="659"/>
        </w:tabs>
        <w:spacing w:before="138" w:line="360" w:lineRule="auto"/>
        <w:ind w:left="658" w:hanging="421"/>
        <w:rPr>
          <w:rFonts w:ascii="Times New Roman" w:eastAsia="Times New Roman"/>
          <w:color w:val="auto"/>
        </w:rPr>
      </w:pPr>
      <w:r>
        <w:rPr>
          <w:color w:val="auto"/>
        </w:rPr>
        <w:t>投标文件的修改与撤回</w:t>
      </w:r>
    </w:p>
    <w:p>
      <w:pPr>
        <w:pStyle w:val="44"/>
        <w:numPr>
          <w:ilvl w:val="2"/>
          <w:numId w:val="3"/>
        </w:numPr>
        <w:tabs>
          <w:tab w:val="left" w:pos="1292"/>
          <w:tab w:val="left" w:pos="1293"/>
        </w:tabs>
        <w:spacing w:before="162" w:line="360" w:lineRule="auto"/>
        <w:ind w:right="212" w:firstLine="420"/>
        <w:rPr>
          <w:color w:val="auto"/>
          <w:sz w:val="21"/>
        </w:rPr>
      </w:pPr>
      <w:r>
        <w:rPr>
          <w:color w:val="auto"/>
          <w:spacing w:val="-4"/>
          <w:sz w:val="21"/>
        </w:rPr>
        <w:t xml:space="preserve">在投标人须知前附表规定的投标截止时间前，投标人可以修改或撤回已递交投标文件， </w:t>
      </w:r>
      <w:r>
        <w:rPr>
          <w:color w:val="auto"/>
          <w:spacing w:val="-3"/>
          <w:sz w:val="21"/>
        </w:rPr>
        <w:t>但应以书面形式通知招标人。</w:t>
      </w:r>
    </w:p>
    <w:p>
      <w:pPr>
        <w:pStyle w:val="44"/>
        <w:numPr>
          <w:ilvl w:val="2"/>
          <w:numId w:val="3"/>
        </w:numPr>
        <w:tabs>
          <w:tab w:val="left" w:pos="1289"/>
          <w:tab w:val="left" w:pos="1290"/>
        </w:tabs>
        <w:spacing w:line="360" w:lineRule="auto"/>
        <w:ind w:right="104" w:firstLine="420"/>
        <w:rPr>
          <w:color w:val="auto"/>
          <w:sz w:val="21"/>
        </w:rPr>
      </w:pPr>
      <w:r>
        <w:rPr>
          <w:color w:val="auto"/>
          <w:spacing w:val="-5"/>
          <w:sz w:val="21"/>
        </w:rPr>
        <w:t xml:space="preserve">投标人修改或撤回已递交投标文件的书面通知应按照本章第 </w:t>
      </w:r>
      <w:r>
        <w:rPr>
          <w:rFonts w:ascii="Times New Roman" w:eastAsia="Times New Roman"/>
          <w:color w:val="auto"/>
          <w:sz w:val="21"/>
        </w:rPr>
        <w:t>3.7.3</w:t>
      </w:r>
      <w:r>
        <w:rPr>
          <w:rFonts w:ascii="Times New Roman" w:eastAsia="Times New Roman"/>
          <w:color w:val="auto"/>
          <w:spacing w:val="28"/>
          <w:sz w:val="21"/>
        </w:rPr>
        <w:t xml:space="preserve"> </w:t>
      </w:r>
      <w:r>
        <w:rPr>
          <w:color w:val="auto"/>
          <w:spacing w:val="-3"/>
          <w:sz w:val="21"/>
        </w:rPr>
        <w:t>项的要求签字或盖章。招标人收到书面通知后，向投标人出具签收凭证。</w:t>
      </w:r>
    </w:p>
    <w:p>
      <w:pPr>
        <w:pStyle w:val="44"/>
        <w:numPr>
          <w:ilvl w:val="2"/>
          <w:numId w:val="3"/>
        </w:numPr>
        <w:tabs>
          <w:tab w:val="left" w:pos="1289"/>
          <w:tab w:val="left" w:pos="1290"/>
        </w:tabs>
        <w:spacing w:before="64" w:line="360" w:lineRule="auto"/>
        <w:ind w:right="104" w:firstLine="420"/>
        <w:rPr>
          <w:color w:val="auto"/>
          <w:sz w:val="21"/>
        </w:rPr>
      </w:pPr>
      <w:r>
        <w:rPr>
          <w:color w:val="auto"/>
          <w:spacing w:val="-6"/>
          <w:sz w:val="21"/>
        </w:rPr>
        <w:t>修改的内容为投标文件的组成部分的，修改的投标文件应按照本章规定进行编制、密封、</w:t>
      </w:r>
      <w:r>
        <w:rPr>
          <w:color w:val="auto"/>
          <w:spacing w:val="-4"/>
          <w:sz w:val="21"/>
        </w:rPr>
        <w:t>标记和递交，并标明</w:t>
      </w:r>
      <w:r>
        <w:rPr>
          <w:rFonts w:ascii="Times New Roman" w:hAnsi="Times New Roman" w:eastAsia="Times New Roman"/>
          <w:color w:val="auto"/>
          <w:sz w:val="21"/>
        </w:rPr>
        <w:t>“</w:t>
      </w:r>
      <w:r>
        <w:rPr>
          <w:color w:val="auto"/>
          <w:spacing w:val="-2"/>
          <w:sz w:val="21"/>
        </w:rPr>
        <w:t>修改</w:t>
      </w:r>
      <w:r>
        <w:rPr>
          <w:rFonts w:ascii="Times New Roman" w:hAnsi="Times New Roman" w:eastAsia="Times New Roman"/>
          <w:color w:val="auto"/>
          <w:sz w:val="21"/>
        </w:rPr>
        <w:t>”</w:t>
      </w:r>
      <w:r>
        <w:rPr>
          <w:color w:val="auto"/>
          <w:spacing w:val="-2"/>
          <w:sz w:val="21"/>
        </w:rPr>
        <w:t>字样。</w:t>
      </w:r>
    </w:p>
    <w:p>
      <w:pPr>
        <w:spacing w:line="360" w:lineRule="auto"/>
        <w:rPr>
          <w:color w:val="auto"/>
          <w:sz w:val="21"/>
        </w:rPr>
        <w:sectPr>
          <w:pgSz w:w="11910" w:h="16850"/>
          <w:pgMar w:top="1480" w:right="1200" w:bottom="1060" w:left="1180" w:header="0" w:footer="800" w:gutter="0"/>
          <w:cols w:space="720" w:num="1"/>
        </w:sectPr>
      </w:pPr>
    </w:p>
    <w:p>
      <w:pPr>
        <w:pStyle w:val="40"/>
        <w:numPr>
          <w:ilvl w:val="0"/>
          <w:numId w:val="3"/>
        </w:numPr>
        <w:tabs>
          <w:tab w:val="left" w:pos="452"/>
        </w:tabs>
        <w:spacing w:line="354" w:lineRule="exact"/>
        <w:ind w:hanging="214"/>
        <w:rPr>
          <w:color w:val="auto"/>
        </w:rPr>
      </w:pPr>
      <w:bookmarkStart w:id="56" w:name="5.开标"/>
      <w:bookmarkEnd w:id="56"/>
      <w:r>
        <w:rPr>
          <w:color w:val="auto"/>
        </w:rPr>
        <w:t>开标</w:t>
      </w:r>
    </w:p>
    <w:p>
      <w:pPr>
        <w:pStyle w:val="42"/>
        <w:numPr>
          <w:ilvl w:val="1"/>
          <w:numId w:val="3"/>
        </w:numPr>
        <w:tabs>
          <w:tab w:val="left" w:pos="659"/>
        </w:tabs>
        <w:spacing w:before="188"/>
        <w:ind w:left="658" w:hanging="421"/>
        <w:rPr>
          <w:rFonts w:ascii="Times New Roman" w:eastAsia="Times New Roman"/>
          <w:color w:val="auto"/>
        </w:rPr>
      </w:pPr>
      <w:bookmarkStart w:id="57" w:name="5.1_开标时间和地点"/>
      <w:bookmarkEnd w:id="57"/>
      <w:r>
        <w:rPr>
          <w:color w:val="auto"/>
        </w:rPr>
        <w:t>开标时间和地点</w:t>
      </w:r>
    </w:p>
    <w:p>
      <w:pPr>
        <w:pStyle w:val="8"/>
        <w:spacing w:before="162" w:line="364" w:lineRule="auto"/>
        <w:ind w:left="238" w:right="212" w:firstLine="420"/>
        <w:rPr>
          <w:color w:val="auto"/>
        </w:rPr>
      </w:pPr>
      <w:r>
        <w:rPr>
          <w:color w:val="auto"/>
        </w:rPr>
        <w:t>招标人在投标人须知前附表规定的投标截止时间（开标时间）和地点公开开标，并邀请所有投标人的法定代表人或其委托代理人准时参加。</w:t>
      </w:r>
    </w:p>
    <w:p>
      <w:pPr>
        <w:pStyle w:val="42"/>
        <w:numPr>
          <w:ilvl w:val="1"/>
          <w:numId w:val="3"/>
        </w:numPr>
        <w:tabs>
          <w:tab w:val="left" w:pos="659"/>
        </w:tabs>
        <w:spacing w:line="304" w:lineRule="exact"/>
        <w:ind w:left="658" w:hanging="421"/>
        <w:rPr>
          <w:rFonts w:ascii="Times New Roman" w:eastAsia="Times New Roman"/>
          <w:color w:val="auto"/>
        </w:rPr>
      </w:pPr>
      <w:bookmarkStart w:id="58" w:name="5.2_开标程序"/>
      <w:bookmarkEnd w:id="58"/>
      <w:r>
        <w:rPr>
          <w:color w:val="auto"/>
        </w:rPr>
        <w:t>开标程序</w:t>
      </w:r>
    </w:p>
    <w:p>
      <w:pPr>
        <w:pStyle w:val="8"/>
        <w:spacing w:before="162"/>
        <w:ind w:left="658"/>
        <w:rPr>
          <w:color w:val="auto"/>
        </w:rPr>
      </w:pPr>
      <w:r>
        <w:rPr>
          <w:color w:val="auto"/>
        </w:rPr>
        <w:t>主持人按下列程序进行开标：</w:t>
      </w:r>
    </w:p>
    <w:p>
      <w:pPr>
        <w:pStyle w:val="8"/>
        <w:spacing w:before="139"/>
        <w:ind w:left="658"/>
        <w:rPr>
          <w:color w:val="auto"/>
        </w:rPr>
      </w:pPr>
      <w:r>
        <w:rPr>
          <w:color w:val="auto"/>
        </w:rPr>
        <w:t>（</w:t>
      </w:r>
      <w:r>
        <w:rPr>
          <w:rFonts w:ascii="Times New Roman" w:eastAsia="Times New Roman"/>
          <w:color w:val="auto"/>
        </w:rPr>
        <w:t>l</w:t>
      </w:r>
      <w:r>
        <w:rPr>
          <w:color w:val="auto"/>
        </w:rPr>
        <w:t>）宣布开标纪律；</w:t>
      </w:r>
    </w:p>
    <w:p>
      <w:pPr>
        <w:pStyle w:val="44"/>
        <w:numPr>
          <w:ilvl w:val="0"/>
          <w:numId w:val="9"/>
        </w:numPr>
        <w:tabs>
          <w:tab w:val="left" w:pos="1188"/>
        </w:tabs>
        <w:spacing w:before="139"/>
        <w:ind w:hanging="530"/>
        <w:rPr>
          <w:color w:val="auto"/>
          <w:sz w:val="21"/>
        </w:rPr>
      </w:pPr>
      <w:r>
        <w:rPr>
          <w:color w:val="auto"/>
          <w:spacing w:val="-3"/>
          <w:sz w:val="21"/>
        </w:rPr>
        <w:t>公布在投标截止时间前递交投标文件的投标人名称，并点名确认投标人是否派人到场；</w:t>
      </w:r>
    </w:p>
    <w:p>
      <w:pPr>
        <w:pStyle w:val="44"/>
        <w:numPr>
          <w:ilvl w:val="0"/>
          <w:numId w:val="9"/>
        </w:numPr>
        <w:tabs>
          <w:tab w:val="left" w:pos="1188"/>
        </w:tabs>
        <w:spacing w:before="139"/>
        <w:ind w:hanging="530"/>
        <w:rPr>
          <w:color w:val="auto"/>
          <w:sz w:val="21"/>
        </w:rPr>
      </w:pPr>
      <w:r>
        <w:rPr>
          <w:color w:val="auto"/>
          <w:spacing w:val="-3"/>
          <w:sz w:val="21"/>
        </w:rPr>
        <w:t>宣布开标人、唱标人、记录人、监督人等有关人员姓名；</w:t>
      </w:r>
    </w:p>
    <w:p>
      <w:pPr>
        <w:pStyle w:val="44"/>
        <w:tabs>
          <w:tab w:val="left" w:pos="849"/>
        </w:tabs>
        <w:spacing w:before="141"/>
        <w:ind w:left="657" w:firstLine="0"/>
        <w:rPr>
          <w:color w:val="auto"/>
          <w:sz w:val="21"/>
        </w:rPr>
      </w:pPr>
      <w:r>
        <w:rPr>
          <w:color w:val="auto"/>
          <w:sz w:val="21"/>
        </w:rPr>
        <w:t>（</w:t>
      </w:r>
      <w:r>
        <w:rPr>
          <w:rFonts w:ascii="Times New Roman" w:hAnsi="Times New Roman" w:eastAsia="Times New Roman"/>
          <w:color w:val="auto"/>
          <w:sz w:val="21"/>
        </w:rPr>
        <w:t>4</w:t>
      </w:r>
      <w:r>
        <w:rPr>
          <w:color w:val="auto"/>
          <w:sz w:val="21"/>
        </w:rPr>
        <w:t>）</w:t>
      </w:r>
      <w:r>
        <w:rPr>
          <w:color w:val="auto"/>
          <w:spacing w:val="-3"/>
          <w:sz w:val="21"/>
        </w:rPr>
        <w:t>按照投标人须知前附表规定检查投标文件的密封情况；</w:t>
      </w:r>
    </w:p>
    <w:p>
      <w:pPr>
        <w:pStyle w:val="44"/>
        <w:tabs>
          <w:tab w:val="left" w:pos="849"/>
        </w:tabs>
        <w:spacing w:before="139" w:line="364" w:lineRule="auto"/>
        <w:ind w:left="658" w:right="209" w:firstLine="0"/>
        <w:rPr>
          <w:color w:val="auto"/>
          <w:sz w:val="21"/>
        </w:rPr>
      </w:pPr>
      <w:r>
        <w:rPr>
          <w:rFonts w:hint="eastAsia" w:ascii="Times New Roman" w:hAnsi="Times New Roman"/>
          <w:color w:val="auto"/>
          <w:spacing w:val="-5"/>
          <w:sz w:val="21"/>
        </w:rPr>
        <w:t>（</w:t>
      </w:r>
      <w:r>
        <w:rPr>
          <w:rFonts w:ascii="Times New Roman" w:hAnsi="Times New Roman" w:eastAsia="Times New Roman"/>
          <w:color w:val="auto"/>
          <w:spacing w:val="-5"/>
          <w:sz w:val="21"/>
        </w:rPr>
        <w:t>4</w:t>
      </w:r>
      <w:r>
        <w:rPr>
          <w:rFonts w:hint="eastAsia" w:ascii="Times New Roman" w:hAnsi="Times New Roman"/>
          <w:color w:val="auto"/>
          <w:spacing w:val="-5"/>
          <w:sz w:val="21"/>
        </w:rPr>
        <w:t>）</w:t>
      </w:r>
      <w:r>
        <w:rPr>
          <w:color w:val="auto"/>
          <w:spacing w:val="-6"/>
          <w:sz w:val="21"/>
        </w:rPr>
        <w:t>按照投标人须知前附表规定检查投标文件的密封情况。施工组织设计采用“暗标”评审</w:t>
      </w:r>
      <w:r>
        <w:rPr>
          <w:color w:val="auto"/>
          <w:spacing w:val="-4"/>
          <w:sz w:val="21"/>
        </w:rPr>
        <w:t>方式的，由交易中心工作人员进行洗标，由招标人代表进行编号</w:t>
      </w:r>
      <w:r>
        <w:rPr>
          <w:color w:val="auto"/>
          <w:spacing w:val="-3"/>
          <w:sz w:val="21"/>
        </w:rPr>
        <w:t>（适用于纸质评标</w:t>
      </w:r>
      <w:r>
        <w:rPr>
          <w:color w:val="auto"/>
          <w:sz w:val="21"/>
        </w:rPr>
        <w:t>）；</w:t>
      </w:r>
    </w:p>
    <w:p>
      <w:pPr>
        <w:pStyle w:val="8"/>
        <w:spacing w:line="267" w:lineRule="exact"/>
        <w:ind w:firstLine="630" w:firstLineChars="300"/>
        <w:rPr>
          <w:color w:val="auto"/>
        </w:rPr>
      </w:pPr>
      <w:r>
        <w:rPr>
          <w:color w:val="auto"/>
        </w:rPr>
        <w:t>（</w:t>
      </w:r>
      <w:r>
        <w:rPr>
          <w:rFonts w:ascii="Times New Roman" w:eastAsia="Times New Roman"/>
          <w:color w:val="auto"/>
        </w:rPr>
        <w:t>5</w:t>
      </w:r>
      <w:r>
        <w:rPr>
          <w:color w:val="auto"/>
        </w:rPr>
        <w:t>）由招标人在开标现场随机抽取投标报价基准价计算下浮点数并记录在案；</w:t>
      </w:r>
    </w:p>
    <w:p>
      <w:pPr>
        <w:pStyle w:val="44"/>
        <w:tabs>
          <w:tab w:val="left" w:pos="849"/>
        </w:tabs>
        <w:spacing w:before="139" w:line="367" w:lineRule="auto"/>
        <w:ind w:left="658" w:right="166" w:firstLine="0"/>
        <w:rPr>
          <w:color w:val="auto"/>
          <w:sz w:val="21"/>
        </w:rPr>
      </w:pPr>
      <w:r>
        <w:rPr>
          <w:color w:val="auto"/>
          <w:sz w:val="21"/>
        </w:rPr>
        <w:t>（</w:t>
      </w:r>
      <w:r>
        <w:rPr>
          <w:rFonts w:ascii="Times New Roman" w:hAnsi="Times New Roman" w:eastAsia="Times New Roman"/>
          <w:color w:val="auto"/>
          <w:sz w:val="21"/>
        </w:rPr>
        <w:t>6</w:t>
      </w:r>
      <w:r>
        <w:rPr>
          <w:color w:val="auto"/>
          <w:sz w:val="21"/>
        </w:rPr>
        <w:t>）</w:t>
      </w:r>
      <w:r>
        <w:rPr>
          <w:color w:val="auto"/>
          <w:spacing w:val="-3"/>
          <w:sz w:val="21"/>
        </w:rPr>
        <w:t>当众开标，公布投标人名称、标段名称、投标保证的递交情况、投标报价、质量目标、工期及其他内容，并记录在案（适用于纸质评标</w:t>
      </w:r>
      <w:r>
        <w:rPr>
          <w:color w:val="auto"/>
          <w:sz w:val="21"/>
        </w:rPr>
        <w:t>）；</w:t>
      </w:r>
    </w:p>
    <w:p>
      <w:pPr>
        <w:pStyle w:val="8"/>
        <w:spacing w:line="364" w:lineRule="auto"/>
        <w:ind w:left="238" w:right="209" w:firstLine="420"/>
        <w:jc w:val="both"/>
        <w:rPr>
          <w:color w:val="auto"/>
        </w:rPr>
      </w:pPr>
      <w:r>
        <w:rPr>
          <w:color w:val="auto"/>
          <w:spacing w:val="-6"/>
        </w:rPr>
        <w:t>（</w:t>
      </w:r>
      <w:r>
        <w:rPr>
          <w:rFonts w:ascii="Times New Roman" w:hAnsi="Times New Roman" w:eastAsia="Times New Roman"/>
          <w:color w:val="auto"/>
          <w:spacing w:val="-6"/>
        </w:rPr>
        <w:t>6</w:t>
      </w:r>
      <w:r>
        <w:rPr>
          <w:color w:val="auto"/>
          <w:spacing w:val="-6"/>
        </w:rPr>
        <w:t>）</w:t>
      </w:r>
      <w:r>
        <w:rPr>
          <w:color w:val="auto"/>
          <w:spacing w:val="-5"/>
        </w:rPr>
        <w:t>投标人通过电子招标投标交易平台对已递交的电子投标文件进行解密，当众开标，公布</w:t>
      </w:r>
      <w:r>
        <w:rPr>
          <w:color w:val="auto"/>
          <w:spacing w:val="-6"/>
        </w:rPr>
        <w:t>投标人名称、标段名称、投标保证的递交情况、投标报价、质量目标、工期及其他内容，并记录在</w:t>
      </w:r>
      <w:r>
        <w:rPr>
          <w:color w:val="auto"/>
        </w:rPr>
        <w:t>案；</w:t>
      </w:r>
    </w:p>
    <w:p>
      <w:pPr>
        <w:pStyle w:val="44"/>
        <w:tabs>
          <w:tab w:val="left" w:pos="849"/>
        </w:tabs>
        <w:spacing w:line="364" w:lineRule="auto"/>
        <w:ind w:left="658" w:right="209" w:firstLine="0"/>
        <w:rPr>
          <w:color w:val="auto"/>
          <w:sz w:val="21"/>
        </w:rPr>
      </w:pPr>
      <w:r>
        <w:rPr>
          <w:color w:val="auto"/>
          <w:spacing w:val="-3"/>
          <w:sz w:val="21"/>
        </w:rPr>
        <w:t>（</w:t>
      </w:r>
      <w:r>
        <w:rPr>
          <w:rFonts w:ascii="Times New Roman" w:hAnsi="Times New Roman" w:eastAsia="Times New Roman"/>
          <w:color w:val="auto"/>
          <w:spacing w:val="-3"/>
          <w:sz w:val="21"/>
        </w:rPr>
        <w:t>7</w:t>
      </w:r>
      <w:r>
        <w:rPr>
          <w:color w:val="auto"/>
          <w:spacing w:val="-3"/>
          <w:sz w:val="21"/>
        </w:rPr>
        <w:t>）</w:t>
      </w:r>
      <w:r>
        <w:rPr>
          <w:color w:val="auto"/>
          <w:spacing w:val="-7"/>
          <w:sz w:val="21"/>
        </w:rPr>
        <w:t>投标人代表、招标人代表、监督人、记录人等有关人员在开标记录上签字确认</w:t>
      </w:r>
      <w:r>
        <w:rPr>
          <w:color w:val="auto"/>
          <w:spacing w:val="-3"/>
          <w:sz w:val="21"/>
        </w:rPr>
        <w:t>（</w:t>
      </w:r>
      <w:r>
        <w:rPr>
          <w:color w:val="auto"/>
          <w:spacing w:val="-2"/>
          <w:sz w:val="21"/>
        </w:rPr>
        <w:t>适用于</w:t>
      </w:r>
      <w:r>
        <w:rPr>
          <w:color w:val="auto"/>
          <w:spacing w:val="-3"/>
          <w:sz w:val="21"/>
        </w:rPr>
        <w:t>纸质评标</w:t>
      </w:r>
      <w:r>
        <w:rPr>
          <w:color w:val="auto"/>
          <w:sz w:val="21"/>
        </w:rPr>
        <w:t>）；</w:t>
      </w:r>
    </w:p>
    <w:p>
      <w:pPr>
        <w:pStyle w:val="8"/>
        <w:spacing w:line="267" w:lineRule="exact"/>
        <w:ind w:left="658"/>
        <w:rPr>
          <w:color w:val="auto"/>
        </w:rPr>
      </w:pPr>
      <w:r>
        <w:rPr>
          <w:color w:val="auto"/>
        </w:rPr>
        <w:t>（</w:t>
      </w:r>
      <w:r>
        <w:rPr>
          <w:rFonts w:ascii="Times New Roman" w:hAnsi="Times New Roman" w:eastAsia="Times New Roman"/>
          <w:color w:val="auto"/>
        </w:rPr>
        <w:t>7</w:t>
      </w:r>
      <w:r>
        <w:rPr>
          <w:color w:val="auto"/>
        </w:rPr>
        <w:t>）招标人在开标记录上确认；</w:t>
      </w:r>
    </w:p>
    <w:p>
      <w:pPr>
        <w:pStyle w:val="8"/>
        <w:spacing w:before="134"/>
        <w:ind w:left="658"/>
        <w:rPr>
          <w:color w:val="auto"/>
        </w:rPr>
      </w:pPr>
      <w:r>
        <w:rPr>
          <w:color w:val="auto"/>
        </w:rPr>
        <w:t>（</w:t>
      </w:r>
      <w:r>
        <w:rPr>
          <w:rFonts w:ascii="Times New Roman" w:eastAsia="Times New Roman"/>
          <w:color w:val="auto"/>
        </w:rPr>
        <w:t>8</w:t>
      </w:r>
      <w:r>
        <w:rPr>
          <w:color w:val="auto"/>
        </w:rPr>
        <w:t>）开标结束。</w:t>
      </w:r>
    </w:p>
    <w:p>
      <w:pPr>
        <w:pStyle w:val="40"/>
        <w:numPr>
          <w:ilvl w:val="0"/>
          <w:numId w:val="3"/>
        </w:numPr>
        <w:tabs>
          <w:tab w:val="left" w:pos="452"/>
        </w:tabs>
        <w:spacing w:before="137"/>
        <w:ind w:hanging="214"/>
        <w:rPr>
          <w:color w:val="auto"/>
        </w:rPr>
      </w:pPr>
      <w:bookmarkStart w:id="59" w:name="6.评标"/>
      <w:bookmarkEnd w:id="59"/>
      <w:r>
        <w:rPr>
          <w:color w:val="auto"/>
        </w:rPr>
        <w:t>评标</w:t>
      </w:r>
    </w:p>
    <w:p>
      <w:pPr>
        <w:pStyle w:val="42"/>
        <w:numPr>
          <w:ilvl w:val="1"/>
          <w:numId w:val="3"/>
        </w:numPr>
        <w:tabs>
          <w:tab w:val="left" w:pos="659"/>
        </w:tabs>
        <w:spacing w:before="187"/>
        <w:ind w:left="658" w:hanging="421"/>
        <w:rPr>
          <w:rFonts w:ascii="Times New Roman" w:eastAsia="Times New Roman"/>
          <w:color w:val="auto"/>
        </w:rPr>
      </w:pPr>
      <w:bookmarkStart w:id="60" w:name="6.1_评标委员会"/>
      <w:bookmarkEnd w:id="60"/>
      <w:r>
        <w:rPr>
          <w:color w:val="auto"/>
        </w:rPr>
        <w:t>评标委员会</w:t>
      </w:r>
    </w:p>
    <w:p>
      <w:pPr>
        <w:pStyle w:val="44"/>
        <w:numPr>
          <w:ilvl w:val="2"/>
          <w:numId w:val="3"/>
        </w:numPr>
        <w:tabs>
          <w:tab w:val="left" w:pos="1292"/>
          <w:tab w:val="left" w:pos="1293"/>
        </w:tabs>
        <w:spacing w:before="162" w:line="364" w:lineRule="auto"/>
        <w:ind w:right="212" w:firstLine="420"/>
        <w:rPr>
          <w:color w:val="auto"/>
          <w:sz w:val="21"/>
        </w:rPr>
      </w:pPr>
      <w:r>
        <w:rPr>
          <w:color w:val="auto"/>
          <w:spacing w:val="-4"/>
          <w:sz w:val="21"/>
        </w:rPr>
        <w:t>评标由招标人依法组建的评标委员会负责。评标委员会成员人数以及技术、经济等方面</w:t>
      </w:r>
      <w:r>
        <w:rPr>
          <w:color w:val="auto"/>
          <w:spacing w:val="-3"/>
          <w:sz w:val="21"/>
        </w:rPr>
        <w:t>专家的确定方式见投标人须知前附表。</w:t>
      </w:r>
    </w:p>
    <w:p>
      <w:pPr>
        <w:pStyle w:val="44"/>
        <w:numPr>
          <w:ilvl w:val="2"/>
          <w:numId w:val="3"/>
        </w:numPr>
        <w:tabs>
          <w:tab w:val="left" w:pos="1289"/>
          <w:tab w:val="left" w:pos="1290"/>
        </w:tabs>
        <w:spacing w:line="267" w:lineRule="exact"/>
        <w:ind w:left="1290" w:hanging="632"/>
        <w:rPr>
          <w:color w:val="auto"/>
          <w:sz w:val="21"/>
        </w:rPr>
      </w:pPr>
      <w:r>
        <w:rPr>
          <w:color w:val="auto"/>
          <w:spacing w:val="-3"/>
          <w:sz w:val="21"/>
        </w:rPr>
        <w:t>有下列情形之一的，应当回避：</w:t>
      </w:r>
    </w:p>
    <w:p>
      <w:pPr>
        <w:pStyle w:val="44"/>
        <w:numPr>
          <w:ilvl w:val="0"/>
          <w:numId w:val="10"/>
        </w:numPr>
        <w:tabs>
          <w:tab w:val="left" w:pos="1188"/>
        </w:tabs>
        <w:spacing w:before="141"/>
        <w:ind w:hanging="530"/>
        <w:rPr>
          <w:color w:val="auto"/>
          <w:sz w:val="21"/>
        </w:rPr>
      </w:pPr>
      <w:r>
        <w:rPr>
          <w:color w:val="auto"/>
          <w:spacing w:val="-3"/>
          <w:sz w:val="21"/>
        </w:rPr>
        <w:t>评标委员会成员是投标人或投标人的主要负责人或拟任项目经理的近亲属；</w:t>
      </w:r>
    </w:p>
    <w:p>
      <w:pPr>
        <w:pStyle w:val="44"/>
        <w:numPr>
          <w:ilvl w:val="0"/>
          <w:numId w:val="10"/>
        </w:numPr>
        <w:tabs>
          <w:tab w:val="left" w:pos="1188"/>
        </w:tabs>
        <w:spacing w:before="139"/>
        <w:ind w:hanging="530"/>
        <w:rPr>
          <w:color w:val="auto"/>
          <w:sz w:val="21"/>
        </w:rPr>
      </w:pPr>
      <w:r>
        <w:rPr>
          <w:color w:val="auto"/>
          <w:spacing w:val="-3"/>
          <w:sz w:val="21"/>
        </w:rPr>
        <w:t>评标委员会成员是本项目招标投标行政监督部门的人员；</w:t>
      </w:r>
    </w:p>
    <w:p>
      <w:pPr>
        <w:pStyle w:val="44"/>
        <w:numPr>
          <w:ilvl w:val="0"/>
          <w:numId w:val="10"/>
        </w:numPr>
        <w:tabs>
          <w:tab w:val="left" w:pos="1186"/>
        </w:tabs>
        <w:spacing w:before="139" w:line="364" w:lineRule="auto"/>
        <w:ind w:left="238" w:right="207" w:firstLine="420"/>
        <w:rPr>
          <w:color w:val="auto"/>
          <w:sz w:val="21"/>
        </w:rPr>
      </w:pPr>
      <w:r>
        <w:rPr>
          <w:color w:val="auto"/>
          <w:spacing w:val="-4"/>
          <w:sz w:val="21"/>
        </w:rPr>
        <w:t>评标委员会成员是招标人或者其下属单位或者招标项目上级主管部门的人员，但招标人 代表除外；</w:t>
      </w:r>
    </w:p>
    <w:p>
      <w:pPr>
        <w:spacing w:line="364" w:lineRule="auto"/>
        <w:rPr>
          <w:color w:val="auto"/>
          <w:sz w:val="21"/>
        </w:rPr>
        <w:sectPr>
          <w:pgSz w:w="11910" w:h="16850"/>
          <w:pgMar w:top="1460" w:right="1200" w:bottom="1060" w:left="1180" w:header="0" w:footer="800" w:gutter="0"/>
          <w:cols w:space="720" w:num="1"/>
        </w:sectPr>
      </w:pPr>
    </w:p>
    <w:p>
      <w:pPr>
        <w:pStyle w:val="44"/>
        <w:numPr>
          <w:ilvl w:val="0"/>
          <w:numId w:val="10"/>
        </w:numPr>
        <w:tabs>
          <w:tab w:val="left" w:pos="1188"/>
        </w:tabs>
        <w:spacing w:before="64"/>
        <w:ind w:hanging="530"/>
        <w:rPr>
          <w:color w:val="auto"/>
          <w:sz w:val="21"/>
        </w:rPr>
      </w:pPr>
      <w:r>
        <w:rPr>
          <w:color w:val="auto"/>
          <w:spacing w:val="-3"/>
          <w:sz w:val="21"/>
        </w:rPr>
        <w:t>评标委员会成员曾参与投标人的投标文件编制或者对投标文件的编制实施指导；</w:t>
      </w:r>
    </w:p>
    <w:p>
      <w:pPr>
        <w:pStyle w:val="44"/>
        <w:numPr>
          <w:ilvl w:val="0"/>
          <w:numId w:val="10"/>
        </w:numPr>
        <w:tabs>
          <w:tab w:val="left" w:pos="1188"/>
        </w:tabs>
        <w:spacing w:before="139"/>
        <w:ind w:hanging="530"/>
        <w:rPr>
          <w:color w:val="auto"/>
          <w:sz w:val="21"/>
        </w:rPr>
      </w:pPr>
      <w:r>
        <w:rPr>
          <w:color w:val="auto"/>
          <w:spacing w:val="-3"/>
          <w:sz w:val="21"/>
        </w:rPr>
        <w:t>评标委员会成员与投标人有经济利益关系，可能影响对投标公正评审的。</w:t>
      </w:r>
    </w:p>
    <w:p>
      <w:pPr>
        <w:pStyle w:val="44"/>
        <w:numPr>
          <w:ilvl w:val="0"/>
          <w:numId w:val="10"/>
        </w:numPr>
        <w:tabs>
          <w:tab w:val="left" w:pos="1188"/>
        </w:tabs>
        <w:spacing w:before="139" w:line="367" w:lineRule="auto"/>
        <w:ind w:left="238" w:right="207" w:firstLine="420"/>
        <w:rPr>
          <w:color w:val="auto"/>
          <w:sz w:val="21"/>
        </w:rPr>
      </w:pPr>
      <w:r>
        <w:rPr>
          <w:color w:val="auto"/>
          <w:spacing w:val="-3"/>
          <w:sz w:val="21"/>
        </w:rPr>
        <w:t>评标委员会成员被住房城乡建设主管部门禁止参加本地区依法必须招标项目评标或者取消担任评标委员会成员资格；</w:t>
      </w:r>
    </w:p>
    <w:p>
      <w:pPr>
        <w:pStyle w:val="44"/>
        <w:numPr>
          <w:ilvl w:val="0"/>
          <w:numId w:val="10"/>
        </w:numPr>
        <w:tabs>
          <w:tab w:val="left" w:pos="1188"/>
        </w:tabs>
        <w:spacing w:line="364" w:lineRule="auto"/>
        <w:ind w:left="238" w:right="207" w:firstLine="420"/>
        <w:rPr>
          <w:color w:val="auto"/>
          <w:sz w:val="21"/>
        </w:rPr>
      </w:pPr>
      <w:r>
        <w:rPr>
          <w:color w:val="auto"/>
          <w:spacing w:val="-3"/>
          <w:sz w:val="21"/>
        </w:rPr>
        <w:t>评标委员会成员被列入湖南省房屋建筑和市政基础设施工程施工监理招标投标失信黑名单并在有效期内的；</w:t>
      </w:r>
    </w:p>
    <w:p>
      <w:pPr>
        <w:pStyle w:val="42"/>
        <w:numPr>
          <w:ilvl w:val="1"/>
          <w:numId w:val="3"/>
        </w:numPr>
        <w:tabs>
          <w:tab w:val="left" w:pos="659"/>
        </w:tabs>
        <w:spacing w:line="304" w:lineRule="exact"/>
        <w:ind w:left="658" w:hanging="421"/>
        <w:rPr>
          <w:rFonts w:ascii="Times New Roman" w:eastAsia="Times New Roman"/>
          <w:color w:val="auto"/>
        </w:rPr>
      </w:pPr>
      <w:bookmarkStart w:id="61" w:name="6.2_评标原则"/>
      <w:bookmarkEnd w:id="61"/>
      <w:r>
        <w:rPr>
          <w:color w:val="auto"/>
        </w:rPr>
        <w:t>评标原则</w:t>
      </w:r>
    </w:p>
    <w:p>
      <w:pPr>
        <w:pStyle w:val="8"/>
        <w:spacing w:before="157"/>
        <w:ind w:left="658"/>
        <w:rPr>
          <w:color w:val="auto"/>
        </w:rPr>
      </w:pPr>
      <w:r>
        <w:rPr>
          <w:color w:val="auto"/>
        </w:rPr>
        <w:t>评标活动遵循公平、公正、科学和择优的原则。</w:t>
      </w:r>
    </w:p>
    <w:p>
      <w:pPr>
        <w:pStyle w:val="42"/>
        <w:numPr>
          <w:ilvl w:val="1"/>
          <w:numId w:val="3"/>
        </w:numPr>
        <w:tabs>
          <w:tab w:val="left" w:pos="659"/>
        </w:tabs>
        <w:spacing w:before="138"/>
        <w:ind w:left="658" w:hanging="421"/>
        <w:rPr>
          <w:rFonts w:ascii="Times New Roman" w:eastAsia="Times New Roman"/>
          <w:color w:val="auto"/>
        </w:rPr>
      </w:pPr>
      <w:bookmarkStart w:id="62" w:name="6.3_评标"/>
      <w:bookmarkEnd w:id="62"/>
      <w:r>
        <w:rPr>
          <w:color w:val="auto"/>
        </w:rPr>
        <w:t>评标</w:t>
      </w:r>
    </w:p>
    <w:p>
      <w:pPr>
        <w:pStyle w:val="8"/>
        <w:spacing w:before="160" w:line="367" w:lineRule="auto"/>
        <w:ind w:left="238" w:right="211" w:firstLine="420"/>
        <w:rPr>
          <w:color w:val="auto"/>
        </w:rPr>
      </w:pPr>
      <w:r>
        <w:rPr>
          <w:color w:val="auto"/>
          <w:spacing w:val="-3"/>
        </w:rPr>
        <w:t>评标委员会按照第三章</w:t>
      </w:r>
      <w:r>
        <w:rPr>
          <w:rFonts w:ascii="Times New Roman" w:hAnsi="Times New Roman" w:eastAsia="Times New Roman"/>
          <w:color w:val="auto"/>
          <w:spacing w:val="-3"/>
        </w:rPr>
        <w:t>“</w:t>
      </w:r>
      <w:r>
        <w:rPr>
          <w:color w:val="auto"/>
          <w:spacing w:val="-3"/>
        </w:rPr>
        <w:t>评标办法</w:t>
      </w:r>
      <w:r>
        <w:rPr>
          <w:rFonts w:ascii="Times New Roman" w:hAnsi="Times New Roman" w:eastAsia="Times New Roman"/>
          <w:color w:val="auto"/>
        </w:rPr>
        <w:t>”</w:t>
      </w:r>
      <w:r>
        <w:rPr>
          <w:color w:val="auto"/>
          <w:spacing w:val="-10"/>
        </w:rPr>
        <w:t>规定的评审标准和评审程序对投标文件进行评审。第三章“评</w:t>
      </w:r>
      <w:r>
        <w:rPr>
          <w:color w:val="auto"/>
          <w:spacing w:val="-5"/>
        </w:rPr>
        <w:t>标办法”没有规定的方法、评审因素和标准，不作为评标依据。</w:t>
      </w:r>
    </w:p>
    <w:p>
      <w:pPr>
        <w:pStyle w:val="40"/>
        <w:numPr>
          <w:ilvl w:val="0"/>
          <w:numId w:val="3"/>
        </w:numPr>
        <w:tabs>
          <w:tab w:val="left" w:pos="452"/>
        </w:tabs>
        <w:spacing w:line="351" w:lineRule="exact"/>
        <w:ind w:hanging="214"/>
        <w:rPr>
          <w:color w:val="auto"/>
        </w:rPr>
      </w:pPr>
      <w:bookmarkStart w:id="63" w:name="7.合同授予"/>
      <w:bookmarkEnd w:id="63"/>
      <w:r>
        <w:rPr>
          <w:color w:val="auto"/>
        </w:rPr>
        <w:t>合同授予</w:t>
      </w:r>
    </w:p>
    <w:p>
      <w:pPr>
        <w:pStyle w:val="42"/>
        <w:numPr>
          <w:ilvl w:val="1"/>
          <w:numId w:val="3"/>
        </w:numPr>
        <w:tabs>
          <w:tab w:val="left" w:pos="659"/>
        </w:tabs>
        <w:spacing w:before="187"/>
        <w:ind w:left="658" w:hanging="421"/>
        <w:rPr>
          <w:rFonts w:ascii="Times New Roman" w:eastAsia="Times New Roman"/>
          <w:color w:val="auto"/>
        </w:rPr>
      </w:pPr>
      <w:bookmarkStart w:id="64" w:name="7.1_定标方式"/>
      <w:bookmarkEnd w:id="64"/>
      <w:r>
        <w:rPr>
          <w:color w:val="auto"/>
        </w:rPr>
        <w:t>定标方式</w:t>
      </w:r>
    </w:p>
    <w:p>
      <w:pPr>
        <w:pStyle w:val="8"/>
        <w:spacing w:before="160" w:line="367" w:lineRule="auto"/>
        <w:ind w:left="238" w:right="212" w:firstLine="420"/>
        <w:rPr>
          <w:color w:val="auto"/>
        </w:rPr>
      </w:pPr>
      <w:r>
        <w:rPr>
          <w:color w:val="auto"/>
          <w:spacing w:val="-4"/>
        </w:rPr>
        <w:t>招标人依据评标委员会推荐的中标候选人确定中标人。评标委员会推荐中标候选人的数量以及</w:t>
      </w:r>
      <w:r>
        <w:rPr>
          <w:color w:val="auto"/>
          <w:spacing w:val="-3"/>
        </w:rPr>
        <w:t>招标人确定中标人的方式见投标人须知前附表。</w:t>
      </w:r>
    </w:p>
    <w:p>
      <w:pPr>
        <w:pStyle w:val="42"/>
        <w:numPr>
          <w:ilvl w:val="1"/>
          <w:numId w:val="3"/>
        </w:numPr>
        <w:tabs>
          <w:tab w:val="left" w:pos="659"/>
        </w:tabs>
        <w:spacing w:line="301" w:lineRule="exact"/>
        <w:ind w:left="658" w:hanging="421"/>
        <w:rPr>
          <w:rFonts w:ascii="Times New Roman" w:eastAsia="Times New Roman"/>
          <w:color w:val="auto"/>
        </w:rPr>
      </w:pPr>
      <w:bookmarkStart w:id="65" w:name="7.2_中标通知"/>
      <w:bookmarkEnd w:id="65"/>
      <w:r>
        <w:rPr>
          <w:color w:val="auto"/>
        </w:rPr>
        <w:t>中标通知</w:t>
      </w:r>
    </w:p>
    <w:p>
      <w:pPr>
        <w:pStyle w:val="8"/>
        <w:spacing w:before="159" w:line="367" w:lineRule="auto"/>
        <w:ind w:left="238" w:right="213" w:firstLine="420"/>
        <w:rPr>
          <w:color w:val="auto"/>
        </w:rPr>
      </w:pPr>
      <w:r>
        <w:rPr>
          <w:color w:val="auto"/>
          <w:spacing w:val="-4"/>
        </w:rPr>
        <w:t>在规定的投标有效期内，招标人以书面形式向中标人发出中标通知书，同时将中标结果通知未</w:t>
      </w:r>
      <w:r>
        <w:rPr>
          <w:color w:val="auto"/>
          <w:spacing w:val="-2"/>
        </w:rPr>
        <w:t>中标的投标人。</w:t>
      </w:r>
    </w:p>
    <w:p>
      <w:pPr>
        <w:pStyle w:val="42"/>
        <w:numPr>
          <w:ilvl w:val="1"/>
          <w:numId w:val="3"/>
        </w:numPr>
        <w:tabs>
          <w:tab w:val="left" w:pos="659"/>
        </w:tabs>
        <w:spacing w:line="301" w:lineRule="exact"/>
        <w:ind w:left="658" w:hanging="421"/>
        <w:rPr>
          <w:rFonts w:ascii="Times New Roman" w:eastAsia="Times New Roman"/>
          <w:color w:val="auto"/>
        </w:rPr>
      </w:pPr>
      <w:bookmarkStart w:id="66" w:name="7.3_履约担保"/>
      <w:bookmarkEnd w:id="66"/>
      <w:r>
        <w:rPr>
          <w:color w:val="auto"/>
        </w:rPr>
        <w:t>履约担保</w:t>
      </w:r>
    </w:p>
    <w:p>
      <w:pPr>
        <w:pStyle w:val="8"/>
        <w:spacing w:before="160" w:line="364" w:lineRule="auto"/>
        <w:ind w:left="238" w:right="214" w:firstLine="420"/>
        <w:jc w:val="both"/>
        <w:rPr>
          <w:color w:val="auto"/>
        </w:rPr>
      </w:pPr>
      <w:r>
        <w:rPr>
          <w:rFonts w:ascii="Times New Roman" w:hAnsi="Times New Roman" w:eastAsia="Times New Roman"/>
          <w:color w:val="auto"/>
        </w:rPr>
        <w:t>7.3.1</w:t>
      </w:r>
      <w:r>
        <w:rPr>
          <w:rFonts w:ascii="Times New Roman" w:hAnsi="Times New Roman" w:eastAsia="Times New Roman"/>
          <w:color w:val="auto"/>
          <w:spacing w:val="2"/>
        </w:rPr>
        <w:t xml:space="preserve">  </w:t>
      </w:r>
      <w:r>
        <w:rPr>
          <w:color w:val="auto"/>
          <w:spacing w:val="-1"/>
        </w:rPr>
        <w:t>在签订合同前，中标人应按投标人须知前附表规定的金额、担保形式和招标文件第四</w:t>
      </w:r>
      <w:r>
        <w:rPr>
          <w:color w:val="auto"/>
        </w:rPr>
        <w:t>章</w:t>
      </w:r>
      <w:r>
        <w:rPr>
          <w:rFonts w:ascii="Times New Roman" w:hAnsi="Times New Roman" w:eastAsia="Times New Roman"/>
          <w:color w:val="auto"/>
        </w:rPr>
        <w:t>“</w:t>
      </w:r>
      <w:r>
        <w:rPr>
          <w:color w:val="auto"/>
        </w:rPr>
        <w:t>合同条款及格式</w:t>
      </w:r>
      <w:r>
        <w:rPr>
          <w:rFonts w:ascii="Times New Roman" w:hAnsi="Times New Roman" w:eastAsia="Times New Roman"/>
          <w:color w:val="auto"/>
        </w:rPr>
        <w:t>”</w:t>
      </w:r>
      <w:r>
        <w:rPr>
          <w:color w:val="auto"/>
          <w:spacing w:val="-1"/>
        </w:rPr>
        <w:t>规定的履约担保格式向招标人提交履约担保。联合体中标的，履约担保由牵头人递交。</w:t>
      </w:r>
    </w:p>
    <w:p>
      <w:pPr>
        <w:pStyle w:val="8"/>
        <w:spacing w:line="364" w:lineRule="auto"/>
        <w:ind w:left="238" w:right="210" w:firstLine="420"/>
        <w:jc w:val="both"/>
        <w:rPr>
          <w:color w:val="auto"/>
        </w:rPr>
      </w:pPr>
      <w:r>
        <w:rPr>
          <w:rFonts w:ascii="Times New Roman" w:eastAsia="Times New Roman"/>
          <w:color w:val="auto"/>
        </w:rPr>
        <w:t xml:space="preserve">7.3.2 </w:t>
      </w:r>
      <w:r>
        <w:rPr>
          <w:color w:val="auto"/>
        </w:rPr>
        <w:t xml:space="preserve">中标人不能按本须知第 </w:t>
      </w:r>
      <w:r>
        <w:rPr>
          <w:rFonts w:ascii="Times New Roman" w:eastAsia="Times New Roman"/>
          <w:color w:val="auto"/>
        </w:rPr>
        <w:t>7.3.1</w:t>
      </w:r>
      <w:r>
        <w:rPr>
          <w:rFonts w:ascii="Times New Roman" w:eastAsia="Times New Roman"/>
          <w:color w:val="auto"/>
          <w:spacing w:val="5"/>
        </w:rPr>
        <w:t xml:space="preserve">  </w:t>
      </w:r>
      <w:r>
        <w:rPr>
          <w:color w:val="auto"/>
          <w:spacing w:val="-2"/>
        </w:rPr>
        <w:t>项要求提交履约担保的，视为放弃中标。给招标人造成的</w:t>
      </w:r>
      <w:r>
        <w:rPr>
          <w:color w:val="auto"/>
          <w:spacing w:val="-3"/>
        </w:rPr>
        <w:t>损失超过投标保证数额的，中标人应当对超过部分予以赔偿。</w:t>
      </w:r>
    </w:p>
    <w:p>
      <w:pPr>
        <w:pStyle w:val="42"/>
        <w:numPr>
          <w:ilvl w:val="1"/>
          <w:numId w:val="3"/>
        </w:numPr>
        <w:tabs>
          <w:tab w:val="left" w:pos="659"/>
        </w:tabs>
        <w:spacing w:line="305" w:lineRule="exact"/>
        <w:ind w:left="658" w:hanging="421"/>
        <w:rPr>
          <w:rFonts w:ascii="Times New Roman" w:eastAsia="Times New Roman"/>
          <w:color w:val="auto"/>
        </w:rPr>
      </w:pPr>
      <w:bookmarkStart w:id="67" w:name="7.4_签订合同"/>
      <w:bookmarkEnd w:id="67"/>
      <w:r>
        <w:rPr>
          <w:color w:val="auto"/>
        </w:rPr>
        <w:t>签订合同</w:t>
      </w:r>
    </w:p>
    <w:p>
      <w:pPr>
        <w:pStyle w:val="44"/>
        <w:numPr>
          <w:ilvl w:val="2"/>
          <w:numId w:val="3"/>
        </w:numPr>
        <w:tabs>
          <w:tab w:val="left" w:pos="1293"/>
        </w:tabs>
        <w:spacing w:before="161" w:line="364" w:lineRule="auto"/>
        <w:ind w:right="210" w:firstLine="420"/>
        <w:jc w:val="both"/>
        <w:rPr>
          <w:color w:val="auto"/>
          <w:sz w:val="21"/>
        </w:rPr>
      </w:pPr>
      <w:r>
        <w:rPr>
          <w:color w:val="auto"/>
          <w:sz w:val="21"/>
        </w:rPr>
        <w:t xml:space="preserve">自中标通知书发出之日起 </w:t>
      </w:r>
      <w:r>
        <w:rPr>
          <w:rFonts w:ascii="Times New Roman" w:eastAsia="Times New Roman"/>
          <w:color w:val="auto"/>
          <w:sz w:val="21"/>
        </w:rPr>
        <w:t>30</w:t>
      </w:r>
      <w:r>
        <w:rPr>
          <w:rFonts w:ascii="Times New Roman" w:eastAsia="Times New Roman"/>
          <w:color w:val="auto"/>
          <w:spacing w:val="20"/>
          <w:sz w:val="21"/>
        </w:rPr>
        <w:t xml:space="preserve"> </w:t>
      </w:r>
      <w:r>
        <w:rPr>
          <w:color w:val="auto"/>
          <w:spacing w:val="-2"/>
          <w:sz w:val="21"/>
        </w:rPr>
        <w:t>天内，招标人和中标人根据招标文件和中标人的投标文件</w:t>
      </w:r>
      <w:r>
        <w:rPr>
          <w:color w:val="auto"/>
          <w:spacing w:val="-4"/>
          <w:sz w:val="21"/>
        </w:rPr>
        <w:t>订立书面合同。中标人无正当理由拒签合同的，招标人取消其中标资格；给招标人造成的损失超过</w:t>
      </w:r>
      <w:r>
        <w:rPr>
          <w:color w:val="auto"/>
          <w:spacing w:val="-3"/>
          <w:sz w:val="21"/>
        </w:rPr>
        <w:t>投标保证数额的，中标人应当对超过部分予以赔偿。</w:t>
      </w:r>
    </w:p>
    <w:p>
      <w:pPr>
        <w:pStyle w:val="44"/>
        <w:numPr>
          <w:ilvl w:val="2"/>
          <w:numId w:val="3"/>
        </w:numPr>
        <w:tabs>
          <w:tab w:val="left" w:pos="1293"/>
        </w:tabs>
        <w:spacing w:line="364" w:lineRule="auto"/>
        <w:ind w:right="213" w:firstLine="420"/>
        <w:jc w:val="both"/>
        <w:rPr>
          <w:color w:val="auto"/>
          <w:sz w:val="21"/>
        </w:rPr>
      </w:pPr>
      <w:r>
        <w:rPr>
          <w:color w:val="auto"/>
          <w:spacing w:val="-4"/>
          <w:sz w:val="21"/>
        </w:rPr>
        <w:t>发出中标通知书后，招标人无正当理由拒签合同的，招标人向中标人退还投标保证；给</w:t>
      </w:r>
      <w:r>
        <w:rPr>
          <w:color w:val="auto"/>
          <w:spacing w:val="-3"/>
          <w:sz w:val="21"/>
        </w:rPr>
        <w:t>中标人造成损失的，还应当赔偿损失。</w:t>
      </w:r>
    </w:p>
    <w:p>
      <w:pPr>
        <w:pStyle w:val="40"/>
        <w:numPr>
          <w:ilvl w:val="0"/>
          <w:numId w:val="3"/>
        </w:numPr>
        <w:tabs>
          <w:tab w:val="left" w:pos="452"/>
        </w:tabs>
        <w:spacing w:line="354" w:lineRule="exact"/>
        <w:ind w:hanging="214"/>
        <w:rPr>
          <w:color w:val="auto"/>
        </w:rPr>
      </w:pPr>
      <w:bookmarkStart w:id="68" w:name="8.重新招标和不再招标"/>
      <w:bookmarkEnd w:id="68"/>
      <w:r>
        <w:rPr>
          <w:color w:val="auto"/>
          <w:spacing w:val="-2"/>
        </w:rPr>
        <w:t>重新招标和不再招标</w:t>
      </w:r>
    </w:p>
    <w:p>
      <w:pPr>
        <w:spacing w:line="354" w:lineRule="exact"/>
        <w:rPr>
          <w:color w:val="auto"/>
        </w:rPr>
        <w:sectPr>
          <w:pgSz w:w="11910" w:h="16850"/>
          <w:pgMar w:top="1460" w:right="1200" w:bottom="1060" w:left="1180" w:header="0" w:footer="800" w:gutter="0"/>
          <w:cols w:space="720" w:num="1"/>
        </w:sectPr>
      </w:pPr>
    </w:p>
    <w:p>
      <w:pPr>
        <w:pStyle w:val="42"/>
        <w:numPr>
          <w:ilvl w:val="1"/>
          <w:numId w:val="3"/>
        </w:numPr>
        <w:tabs>
          <w:tab w:val="left" w:pos="659"/>
        </w:tabs>
        <w:spacing w:before="63"/>
        <w:ind w:left="658" w:hanging="421"/>
        <w:rPr>
          <w:rFonts w:ascii="Times New Roman" w:eastAsia="Times New Roman"/>
          <w:color w:val="auto"/>
        </w:rPr>
      </w:pPr>
      <w:bookmarkStart w:id="69" w:name="8.1_重新招标"/>
      <w:bookmarkEnd w:id="69"/>
      <w:r>
        <w:rPr>
          <w:color w:val="auto"/>
        </w:rPr>
        <w:t>重新招标</w:t>
      </w:r>
    </w:p>
    <w:p>
      <w:pPr>
        <w:pStyle w:val="8"/>
        <w:spacing w:before="160"/>
        <w:ind w:left="658"/>
        <w:rPr>
          <w:color w:val="auto"/>
        </w:rPr>
      </w:pPr>
      <w:r>
        <w:rPr>
          <w:color w:val="auto"/>
        </w:rPr>
        <w:t>有下列情形之一的，招标人将重新招标：</w:t>
      </w:r>
    </w:p>
    <w:p>
      <w:pPr>
        <w:pStyle w:val="8"/>
        <w:spacing w:before="141"/>
        <w:ind w:left="658"/>
        <w:rPr>
          <w:color w:val="auto"/>
        </w:rPr>
      </w:pPr>
      <w:r>
        <w:rPr>
          <w:color w:val="auto"/>
        </w:rPr>
        <w:t>（</w:t>
      </w:r>
      <w:r>
        <w:rPr>
          <w:rFonts w:ascii="Times New Roman" w:eastAsia="Times New Roman"/>
          <w:color w:val="auto"/>
        </w:rPr>
        <w:t>l</w:t>
      </w:r>
      <w:r>
        <w:rPr>
          <w:color w:val="auto"/>
        </w:rPr>
        <w:t>）</w:t>
      </w:r>
      <w:r>
        <w:rPr>
          <w:color w:val="auto"/>
          <w:spacing w:val="-7"/>
        </w:rPr>
        <w:t xml:space="preserve">投标截止时间止，投标人少于 </w:t>
      </w:r>
      <w:r>
        <w:rPr>
          <w:rFonts w:ascii="Times New Roman" w:eastAsia="Times New Roman"/>
          <w:color w:val="auto"/>
        </w:rPr>
        <w:t>3</w:t>
      </w:r>
      <w:r>
        <w:rPr>
          <w:rFonts w:ascii="Times New Roman" w:eastAsia="Times New Roman"/>
          <w:color w:val="auto"/>
          <w:spacing w:val="5"/>
        </w:rPr>
        <w:t xml:space="preserve">  </w:t>
      </w:r>
      <w:r>
        <w:rPr>
          <w:color w:val="auto"/>
          <w:spacing w:val="-2"/>
        </w:rPr>
        <w:t>个的；</w:t>
      </w:r>
    </w:p>
    <w:p>
      <w:pPr>
        <w:pStyle w:val="8"/>
        <w:spacing w:before="139"/>
        <w:ind w:left="658"/>
        <w:rPr>
          <w:color w:val="auto"/>
        </w:rPr>
      </w:pPr>
      <w:r>
        <w:rPr>
          <w:color w:val="auto"/>
          <w:spacing w:val="-1"/>
        </w:rPr>
        <w:t>（</w:t>
      </w:r>
      <w:r>
        <w:rPr>
          <w:rFonts w:ascii="Times New Roman" w:eastAsia="Times New Roman"/>
          <w:color w:val="auto"/>
          <w:spacing w:val="-1"/>
        </w:rPr>
        <w:t>2</w:t>
      </w:r>
      <w:r>
        <w:rPr>
          <w:color w:val="auto"/>
          <w:spacing w:val="-1"/>
        </w:rPr>
        <w:t>）</w:t>
      </w:r>
      <w:r>
        <w:rPr>
          <w:color w:val="auto"/>
          <w:spacing w:val="-3"/>
        </w:rPr>
        <w:t>经评标委员会评审后否决所有投标的。</w:t>
      </w:r>
    </w:p>
    <w:p>
      <w:pPr>
        <w:pStyle w:val="42"/>
        <w:numPr>
          <w:ilvl w:val="1"/>
          <w:numId w:val="3"/>
        </w:numPr>
        <w:tabs>
          <w:tab w:val="left" w:pos="659"/>
        </w:tabs>
        <w:spacing w:before="138"/>
        <w:ind w:left="658" w:hanging="421"/>
        <w:rPr>
          <w:rFonts w:ascii="Times New Roman" w:eastAsia="Times New Roman"/>
          <w:color w:val="auto"/>
        </w:rPr>
      </w:pPr>
      <w:bookmarkStart w:id="70" w:name="8.2_不再招标"/>
      <w:bookmarkEnd w:id="70"/>
      <w:r>
        <w:rPr>
          <w:color w:val="auto"/>
        </w:rPr>
        <w:t>不再招标</w:t>
      </w:r>
    </w:p>
    <w:p>
      <w:pPr>
        <w:pStyle w:val="8"/>
        <w:spacing w:before="161" w:line="364" w:lineRule="auto"/>
        <w:ind w:left="238" w:right="197" w:firstLine="420"/>
        <w:jc w:val="both"/>
        <w:rPr>
          <w:color w:val="auto"/>
        </w:rPr>
      </w:pPr>
      <w:r>
        <w:rPr>
          <w:color w:val="auto"/>
        </w:rPr>
        <w:t xml:space="preserve">重新招标后投标人仍少于 </w:t>
      </w:r>
      <w:r>
        <w:rPr>
          <w:rFonts w:ascii="Times New Roman" w:eastAsia="Times New Roman"/>
          <w:color w:val="auto"/>
        </w:rPr>
        <w:t xml:space="preserve">3 </w:t>
      </w:r>
      <w:r>
        <w:rPr>
          <w:color w:val="auto"/>
        </w:rPr>
        <w:t>个或者所有投标被否决的，属于必须审批或核准的工程建设项目， 经原审批或核准部门批准后不再进行招标。</w:t>
      </w:r>
    </w:p>
    <w:p>
      <w:pPr>
        <w:pStyle w:val="40"/>
        <w:numPr>
          <w:ilvl w:val="0"/>
          <w:numId w:val="3"/>
        </w:numPr>
        <w:tabs>
          <w:tab w:val="left" w:pos="452"/>
        </w:tabs>
        <w:spacing w:line="354" w:lineRule="exact"/>
        <w:ind w:hanging="214"/>
        <w:rPr>
          <w:color w:val="auto"/>
        </w:rPr>
      </w:pPr>
      <w:bookmarkStart w:id="71" w:name="9.纪律和监督"/>
      <w:bookmarkEnd w:id="71"/>
      <w:r>
        <w:rPr>
          <w:color w:val="auto"/>
        </w:rPr>
        <w:t>纪律和监督</w:t>
      </w:r>
    </w:p>
    <w:p>
      <w:pPr>
        <w:pStyle w:val="42"/>
        <w:numPr>
          <w:ilvl w:val="1"/>
          <w:numId w:val="3"/>
        </w:numPr>
        <w:tabs>
          <w:tab w:val="left" w:pos="599"/>
        </w:tabs>
        <w:spacing w:before="189"/>
        <w:ind w:hanging="361"/>
        <w:rPr>
          <w:rFonts w:ascii="Times New Roman" w:eastAsia="Times New Roman"/>
          <w:color w:val="auto"/>
        </w:rPr>
      </w:pPr>
      <w:bookmarkStart w:id="72" w:name="9.1对投标人的纪律要求"/>
      <w:bookmarkEnd w:id="72"/>
      <w:r>
        <w:rPr>
          <w:color w:val="auto"/>
        </w:rPr>
        <w:t>对投标人的纪律要求</w:t>
      </w:r>
    </w:p>
    <w:p>
      <w:pPr>
        <w:pStyle w:val="8"/>
        <w:spacing w:before="159" w:line="364" w:lineRule="auto"/>
        <w:ind w:left="238" w:right="210" w:firstLine="420"/>
        <w:jc w:val="both"/>
        <w:rPr>
          <w:color w:val="auto"/>
        </w:rPr>
      </w:pPr>
      <w:r>
        <w:rPr>
          <w:color w:val="auto"/>
          <w:spacing w:val="-4"/>
        </w:rPr>
        <w:t>投标人不得相互串通投标或者与招标人串通投标，不得向招标人或者评标委员会成员行贿谋取中标，不得以他人名义投标或者以其他方式弄虚作假骗取中标；投标人不得以任何方式干扰、影响</w:t>
      </w:r>
      <w:r>
        <w:rPr>
          <w:color w:val="auto"/>
          <w:spacing w:val="-1"/>
        </w:rPr>
        <w:t>评标工作。</w:t>
      </w:r>
    </w:p>
    <w:p>
      <w:pPr>
        <w:pStyle w:val="42"/>
        <w:numPr>
          <w:ilvl w:val="1"/>
          <w:numId w:val="3"/>
        </w:numPr>
        <w:tabs>
          <w:tab w:val="left" w:pos="599"/>
        </w:tabs>
        <w:spacing w:line="306" w:lineRule="exact"/>
        <w:ind w:hanging="361"/>
        <w:rPr>
          <w:rFonts w:ascii="Times New Roman" w:eastAsia="Times New Roman"/>
          <w:color w:val="auto"/>
        </w:rPr>
      </w:pPr>
      <w:bookmarkStart w:id="73" w:name="9.2对评标委员会成员的纪律要求"/>
      <w:bookmarkEnd w:id="73"/>
      <w:r>
        <w:rPr>
          <w:color w:val="auto"/>
        </w:rPr>
        <w:t>对评标委员会成员的纪律要求</w:t>
      </w:r>
    </w:p>
    <w:p>
      <w:pPr>
        <w:pStyle w:val="8"/>
        <w:spacing w:before="162" w:line="364" w:lineRule="auto"/>
        <w:ind w:left="238" w:right="104" w:firstLine="420"/>
        <w:rPr>
          <w:color w:val="auto"/>
        </w:rPr>
      </w:pPr>
      <w:r>
        <w:rPr>
          <w:color w:val="auto"/>
          <w:spacing w:val="-6"/>
        </w:rPr>
        <w:t xml:space="preserve">评标委员会成员不得收受他人的财物或者其他好处，不得向他人透漏对投标文件的评审和比较、中标候选人的推荐情况以及评标有关的其他情况。在评标活动中，评标委员会成员不得擅离职守， </w:t>
      </w:r>
      <w:r>
        <w:rPr>
          <w:color w:val="auto"/>
          <w:spacing w:val="-4"/>
        </w:rPr>
        <w:t>影响评标程序正常进行。</w:t>
      </w:r>
    </w:p>
    <w:p>
      <w:pPr>
        <w:pStyle w:val="42"/>
        <w:numPr>
          <w:ilvl w:val="1"/>
          <w:numId w:val="3"/>
        </w:numPr>
        <w:tabs>
          <w:tab w:val="left" w:pos="659"/>
        </w:tabs>
        <w:spacing w:line="304" w:lineRule="exact"/>
        <w:ind w:left="658" w:hanging="421"/>
        <w:rPr>
          <w:rFonts w:ascii="Times New Roman" w:eastAsia="Times New Roman"/>
          <w:color w:val="auto"/>
        </w:rPr>
      </w:pPr>
      <w:bookmarkStart w:id="74" w:name="9.3_对与评标活动有关的工作人员的纪律要求"/>
      <w:bookmarkEnd w:id="74"/>
      <w:r>
        <w:rPr>
          <w:color w:val="auto"/>
        </w:rPr>
        <w:t>对与评标活动有关的工作人员的纪律要求</w:t>
      </w:r>
    </w:p>
    <w:p>
      <w:pPr>
        <w:pStyle w:val="8"/>
        <w:spacing w:before="161" w:line="364" w:lineRule="auto"/>
        <w:ind w:left="238" w:right="210" w:firstLine="420"/>
        <w:jc w:val="both"/>
        <w:rPr>
          <w:color w:val="auto"/>
        </w:rPr>
      </w:pPr>
      <w:r>
        <w:rPr>
          <w:color w:val="auto"/>
          <w:spacing w:val="-4"/>
        </w:rPr>
        <w:t>与评标活动有关的工作人员不得收受他人的财物或者其他好处，不得向他人透露对投标文件的评审和比较、中标候选人的推荐情况以及评标有关的其他情况。在评标活动中，与评标活动有关的</w:t>
      </w:r>
      <w:r>
        <w:rPr>
          <w:color w:val="auto"/>
          <w:spacing w:val="-3"/>
        </w:rPr>
        <w:t>工作人员不得擅离职守，影响评标程序正常进行。</w:t>
      </w:r>
    </w:p>
    <w:p>
      <w:pPr>
        <w:pStyle w:val="44"/>
        <w:numPr>
          <w:ilvl w:val="1"/>
          <w:numId w:val="3"/>
        </w:numPr>
        <w:tabs>
          <w:tab w:val="left" w:pos="659"/>
        </w:tabs>
        <w:spacing w:line="303" w:lineRule="exact"/>
        <w:ind w:left="658" w:hanging="421"/>
        <w:rPr>
          <w:rFonts w:ascii="Times New Roman" w:eastAsia="Times New Roman"/>
          <w:b/>
          <w:color w:val="auto"/>
          <w:sz w:val="24"/>
        </w:rPr>
      </w:pPr>
      <w:bookmarkStart w:id="75" w:name="9.4_异议和投诉"/>
      <w:bookmarkEnd w:id="75"/>
      <w:r>
        <w:rPr>
          <w:rFonts w:hint="eastAsia" w:ascii="黑体" w:eastAsia="黑体"/>
          <w:b/>
          <w:color w:val="auto"/>
          <w:sz w:val="24"/>
        </w:rPr>
        <w:t>异议和投诉</w:t>
      </w:r>
    </w:p>
    <w:p>
      <w:pPr>
        <w:pStyle w:val="44"/>
        <w:numPr>
          <w:ilvl w:val="2"/>
          <w:numId w:val="3"/>
        </w:numPr>
        <w:tabs>
          <w:tab w:val="left" w:pos="1132"/>
        </w:tabs>
        <w:spacing w:before="162"/>
        <w:ind w:left="1131" w:hanging="474"/>
        <w:rPr>
          <w:color w:val="auto"/>
          <w:sz w:val="21"/>
        </w:rPr>
      </w:pPr>
      <w:r>
        <w:rPr>
          <w:color w:val="auto"/>
          <w:spacing w:val="-3"/>
          <w:sz w:val="21"/>
        </w:rPr>
        <w:t>投标人或者其他利害关系人就下列事项投诉的，应当按照相关规定向招标人提出异议：</w:t>
      </w:r>
    </w:p>
    <w:p>
      <w:pPr>
        <w:pStyle w:val="44"/>
        <w:numPr>
          <w:ilvl w:val="0"/>
          <w:numId w:val="11"/>
        </w:numPr>
        <w:tabs>
          <w:tab w:val="left" w:pos="906"/>
        </w:tabs>
        <w:spacing w:before="139" w:line="364" w:lineRule="auto"/>
        <w:ind w:right="209" w:firstLine="420"/>
        <w:rPr>
          <w:color w:val="auto"/>
          <w:sz w:val="21"/>
        </w:rPr>
      </w:pPr>
      <w:r>
        <w:rPr>
          <w:color w:val="auto"/>
          <w:spacing w:val="-9"/>
          <w:sz w:val="21"/>
        </w:rPr>
        <w:t xml:space="preserve">认为招标文件不符合相关法律法规规范性文件规定，应当在投标截止时间 </w:t>
      </w:r>
      <w:r>
        <w:rPr>
          <w:rFonts w:ascii="Times New Roman" w:eastAsia="Times New Roman"/>
          <w:color w:val="auto"/>
          <w:sz w:val="21"/>
        </w:rPr>
        <w:t>10</w:t>
      </w:r>
      <w:r>
        <w:rPr>
          <w:rFonts w:ascii="Times New Roman" w:eastAsia="Times New Roman"/>
          <w:color w:val="auto"/>
          <w:spacing w:val="20"/>
          <w:sz w:val="21"/>
        </w:rPr>
        <w:t xml:space="preserve"> </w:t>
      </w:r>
      <w:r>
        <w:rPr>
          <w:color w:val="auto"/>
          <w:spacing w:val="-3"/>
          <w:sz w:val="21"/>
        </w:rPr>
        <w:t>日前向招标人提出异议；</w:t>
      </w:r>
    </w:p>
    <w:p>
      <w:pPr>
        <w:pStyle w:val="44"/>
        <w:numPr>
          <w:ilvl w:val="0"/>
          <w:numId w:val="11"/>
        </w:numPr>
        <w:tabs>
          <w:tab w:val="left" w:pos="906"/>
        </w:tabs>
        <w:spacing w:before="1" w:line="364" w:lineRule="auto"/>
        <w:ind w:left="658" w:right="1054" w:firstLine="0"/>
        <w:rPr>
          <w:color w:val="auto"/>
          <w:sz w:val="21"/>
        </w:rPr>
      </w:pPr>
      <w:r>
        <w:rPr>
          <w:color w:val="auto"/>
          <w:spacing w:val="-3"/>
          <w:sz w:val="21"/>
        </w:rPr>
        <w:t xml:space="preserve">认为开标活动不符合相关法律法规规范性文件规定的，应当在开标现场提出异议； </w:t>
      </w:r>
      <w:r>
        <w:rPr>
          <w:rFonts w:ascii="Times New Roman" w:eastAsia="Times New Roman"/>
          <w:color w:val="auto"/>
          <w:spacing w:val="-3"/>
          <w:sz w:val="21"/>
        </w:rPr>
        <w:t>(3)</w:t>
      </w:r>
      <w:r>
        <w:rPr>
          <w:color w:val="auto"/>
          <w:spacing w:val="-3"/>
          <w:sz w:val="21"/>
        </w:rPr>
        <w:t>对评标结果有异议的，在中标候选人公示期以书面形式向招标人提出；</w:t>
      </w:r>
    </w:p>
    <w:p>
      <w:pPr>
        <w:pStyle w:val="8"/>
        <w:spacing w:line="364" w:lineRule="auto"/>
        <w:ind w:left="238" w:right="248" w:firstLine="420"/>
        <w:rPr>
          <w:color w:val="auto"/>
        </w:rPr>
      </w:pPr>
      <w:r>
        <w:rPr>
          <w:color w:val="auto"/>
        </w:rPr>
        <w:t>投标人或利害关系人不满意招标人的答复或者认为招标人处理不当的，可以向本项目的招标投标行政监督部门投诉。</w:t>
      </w:r>
    </w:p>
    <w:p>
      <w:pPr>
        <w:pStyle w:val="44"/>
        <w:numPr>
          <w:ilvl w:val="2"/>
          <w:numId w:val="3"/>
        </w:numPr>
        <w:tabs>
          <w:tab w:val="left" w:pos="1132"/>
        </w:tabs>
        <w:spacing w:line="364" w:lineRule="auto"/>
        <w:ind w:right="209" w:firstLine="420"/>
        <w:jc w:val="both"/>
        <w:rPr>
          <w:color w:val="auto"/>
          <w:sz w:val="21"/>
        </w:rPr>
      </w:pPr>
      <w:r>
        <w:rPr>
          <w:color w:val="auto"/>
          <w:spacing w:val="-4"/>
          <w:sz w:val="21"/>
        </w:rPr>
        <w:t>投标人或者其他利害关系人认为本次招标活动违反法律法规规范性文件规定的，可以在知</w:t>
      </w:r>
      <w:r>
        <w:rPr>
          <w:color w:val="auto"/>
          <w:spacing w:val="-8"/>
          <w:sz w:val="21"/>
        </w:rPr>
        <w:t xml:space="preserve">道或者应当知道之日起 </w:t>
      </w:r>
      <w:r>
        <w:rPr>
          <w:rFonts w:ascii="Times New Roman" w:eastAsia="Times New Roman"/>
          <w:color w:val="auto"/>
          <w:sz w:val="21"/>
        </w:rPr>
        <w:t>10</w:t>
      </w:r>
      <w:r>
        <w:rPr>
          <w:rFonts w:ascii="Times New Roman" w:eastAsia="Times New Roman"/>
          <w:color w:val="auto"/>
          <w:spacing w:val="-1"/>
          <w:sz w:val="21"/>
        </w:rPr>
        <w:t xml:space="preserve"> </w:t>
      </w:r>
      <w:r>
        <w:rPr>
          <w:color w:val="auto"/>
          <w:spacing w:val="-3"/>
          <w:sz w:val="21"/>
        </w:rPr>
        <w:t>日内向本项目的招标投标行政监督部门投诉。</w:t>
      </w:r>
    </w:p>
    <w:p>
      <w:pPr>
        <w:pStyle w:val="44"/>
        <w:numPr>
          <w:ilvl w:val="2"/>
          <w:numId w:val="3"/>
        </w:numPr>
        <w:tabs>
          <w:tab w:val="left" w:pos="1132"/>
        </w:tabs>
        <w:spacing w:line="364" w:lineRule="auto"/>
        <w:ind w:right="197" w:firstLine="420"/>
        <w:jc w:val="both"/>
        <w:rPr>
          <w:color w:val="auto"/>
          <w:sz w:val="21"/>
        </w:rPr>
      </w:pPr>
      <w:r>
        <w:rPr>
          <w:color w:val="auto"/>
          <w:spacing w:val="-3"/>
          <w:sz w:val="21"/>
        </w:rPr>
        <w:t>有关信用评价信息弄虚作假的异议，经核实后影响到中标结果的，依法取消其中标资格； 不影响到中标结果的，其信用评价弄虚作假行为按《湖南省房屋建筑和市政基础设施工程施工招标投标信用评价管理暂行办法》处理。</w:t>
      </w:r>
    </w:p>
    <w:p>
      <w:pPr>
        <w:spacing w:line="364" w:lineRule="auto"/>
        <w:jc w:val="both"/>
        <w:rPr>
          <w:color w:val="auto"/>
          <w:sz w:val="21"/>
        </w:rPr>
        <w:sectPr>
          <w:pgSz w:w="11910" w:h="16850"/>
          <w:pgMar w:top="1460" w:right="1200" w:bottom="1060" w:left="1180" w:header="0" w:footer="800" w:gutter="0"/>
          <w:cols w:space="720" w:num="1"/>
        </w:sectPr>
      </w:pPr>
    </w:p>
    <w:p>
      <w:pPr>
        <w:pStyle w:val="8"/>
        <w:spacing w:before="9"/>
        <w:rPr>
          <w:color w:val="auto"/>
          <w:sz w:val="16"/>
        </w:rPr>
      </w:pPr>
    </w:p>
    <w:p>
      <w:pPr>
        <w:pStyle w:val="40"/>
        <w:numPr>
          <w:ilvl w:val="0"/>
          <w:numId w:val="3"/>
        </w:numPr>
        <w:tabs>
          <w:tab w:val="left" w:pos="594"/>
        </w:tabs>
        <w:spacing w:before="70"/>
        <w:ind w:left="593" w:hanging="356"/>
        <w:rPr>
          <w:color w:val="auto"/>
        </w:rPr>
      </w:pPr>
      <w:bookmarkStart w:id="76" w:name="10.需要补充的其他内容"/>
      <w:bookmarkEnd w:id="76"/>
      <w:r>
        <w:rPr>
          <w:color w:val="auto"/>
          <w:spacing w:val="-2"/>
        </w:rPr>
        <w:t>需要补充的其他内容</w:t>
      </w:r>
    </w:p>
    <w:p>
      <w:pPr>
        <w:pStyle w:val="8"/>
        <w:spacing w:before="189"/>
        <w:ind w:left="658"/>
        <w:rPr>
          <w:color w:val="auto"/>
        </w:rPr>
      </w:pPr>
      <w:r>
        <w:rPr>
          <w:color w:val="auto"/>
        </w:rPr>
        <w:t>需要补充的其他内容：见投标人须知前附表。</w:t>
      </w:r>
    </w:p>
    <w:p>
      <w:pPr>
        <w:rPr>
          <w:color w:val="auto"/>
        </w:rPr>
      </w:pPr>
    </w:p>
    <w:p>
      <w:pPr>
        <w:rPr>
          <w:color w:val="auto"/>
        </w:rPr>
        <w:sectPr>
          <w:pgSz w:w="11910" w:h="16850"/>
          <w:pgMar w:top="1600" w:right="1200" w:bottom="1060" w:left="1180" w:header="0" w:footer="800" w:gutter="0"/>
          <w:cols w:space="720" w:num="1"/>
        </w:sectPr>
      </w:pPr>
    </w:p>
    <w:p>
      <w:pPr>
        <w:pStyle w:val="42"/>
        <w:spacing w:before="110"/>
        <w:ind w:left="480" w:firstLine="0"/>
        <w:rPr>
          <w:color w:val="auto"/>
        </w:rPr>
      </w:pPr>
      <w:r>
        <w:rPr>
          <w:color w:val="auto"/>
        </w:rPr>
        <w:t xml:space="preserve">附件 </w:t>
      </w:r>
      <w:r>
        <w:rPr>
          <w:rFonts w:ascii="Times New Roman" w:eastAsia="Times New Roman"/>
          <w:color w:val="auto"/>
        </w:rPr>
        <w:t>2-1</w:t>
      </w:r>
      <w:r>
        <w:rPr>
          <w:color w:val="auto"/>
        </w:rPr>
        <w:t>：电子投标文件编制及报送要求</w:t>
      </w:r>
    </w:p>
    <w:p>
      <w:pPr>
        <w:pStyle w:val="8"/>
        <w:rPr>
          <w:rFonts w:ascii="黑体"/>
          <w:color w:val="auto"/>
          <w:sz w:val="26"/>
        </w:rPr>
      </w:pPr>
    </w:p>
    <w:p>
      <w:pPr>
        <w:pStyle w:val="8"/>
        <w:rPr>
          <w:rFonts w:ascii="黑体"/>
          <w:color w:val="auto"/>
          <w:sz w:val="19"/>
        </w:rPr>
      </w:pPr>
    </w:p>
    <w:p>
      <w:pPr>
        <w:ind w:left="3"/>
        <w:jc w:val="center"/>
        <w:rPr>
          <w:rFonts w:ascii="黑体" w:eastAsia="黑体"/>
          <w:color w:val="auto"/>
          <w:sz w:val="28"/>
        </w:rPr>
      </w:pPr>
      <w:r>
        <w:rPr>
          <w:rFonts w:hint="eastAsia" w:ascii="黑体" w:eastAsia="黑体"/>
          <w:color w:val="auto"/>
          <w:sz w:val="28"/>
        </w:rPr>
        <w:t>电子投标文件编制及报送要求</w:t>
      </w:r>
    </w:p>
    <w:p>
      <w:pPr>
        <w:pStyle w:val="8"/>
        <w:rPr>
          <w:rFonts w:ascii="黑体"/>
          <w:color w:val="auto"/>
          <w:sz w:val="28"/>
        </w:rPr>
      </w:pPr>
    </w:p>
    <w:p>
      <w:pPr>
        <w:pStyle w:val="8"/>
        <w:spacing w:before="2"/>
        <w:rPr>
          <w:rFonts w:ascii="黑体"/>
          <w:color w:val="auto"/>
          <w:sz w:val="29"/>
        </w:rPr>
      </w:pPr>
    </w:p>
    <w:p>
      <w:pPr>
        <w:spacing w:before="1"/>
        <w:ind w:left="2"/>
        <w:jc w:val="center"/>
        <w:rPr>
          <w:b/>
          <w:color w:val="auto"/>
          <w:sz w:val="18"/>
        </w:rPr>
      </w:pPr>
      <w:bookmarkStart w:id="77" w:name="说明：具体要求见岳阳市公共资源交易中心网全流程电子化招投标操作手册。"/>
      <w:bookmarkEnd w:id="77"/>
      <w:r>
        <w:rPr>
          <w:b/>
          <w:color w:val="auto"/>
          <w:sz w:val="18"/>
        </w:rPr>
        <w:t>说明：具体要求见岳阳市公共资源交易中心网全流程电子化招投标操作手册。</w:t>
      </w:r>
    </w:p>
    <w:p>
      <w:pPr>
        <w:jc w:val="center"/>
        <w:rPr>
          <w:color w:val="auto"/>
          <w:sz w:val="18"/>
        </w:rPr>
        <w:sectPr>
          <w:footerReference r:id="rId8" w:type="default"/>
          <w:pgSz w:w="11900" w:h="16840"/>
          <w:pgMar w:top="1580" w:right="960" w:bottom="1180" w:left="960" w:header="0" w:footer="995" w:gutter="0"/>
          <w:cols w:space="720" w:num="1"/>
        </w:sectPr>
      </w:pPr>
    </w:p>
    <w:p>
      <w:pPr>
        <w:tabs>
          <w:tab w:val="left" w:pos="1279"/>
        </w:tabs>
        <w:spacing w:before="83"/>
        <w:jc w:val="center"/>
        <w:rPr>
          <w:rFonts w:ascii="黑体" w:eastAsia="黑体"/>
          <w:color w:val="auto"/>
          <w:sz w:val="32"/>
        </w:rPr>
      </w:pPr>
      <w:r>
        <w:rPr>
          <w:color w:val="auto"/>
        </w:rPr>
        <mc:AlternateContent>
          <mc:Choice Requires="wps">
            <w:drawing>
              <wp:anchor distT="0" distB="0" distL="114300" distR="114300" simplePos="0" relativeHeight="241485824" behindDoc="1" locked="0" layoutInCell="1" allowOverlap="1">
                <wp:simplePos x="0" y="0"/>
                <wp:positionH relativeFrom="page">
                  <wp:posOffset>3383915</wp:posOffset>
                </wp:positionH>
                <wp:positionV relativeFrom="page">
                  <wp:posOffset>3860800</wp:posOffset>
                </wp:positionV>
                <wp:extent cx="45720" cy="6350"/>
                <wp:effectExtent l="0" t="0" r="0" b="0"/>
                <wp:wrapNone/>
                <wp:docPr id="1" name="矩形 3"/>
                <wp:cNvGraphicFramePr/>
                <a:graphic xmlns:a="http://schemas.openxmlformats.org/drawingml/2006/main">
                  <a:graphicData uri="http://schemas.microsoft.com/office/word/2010/wordprocessingShape">
                    <wps:wsp>
                      <wps:cNvSpPr/>
                      <wps:spPr>
                        <a:xfrm>
                          <a:off x="0" y="0"/>
                          <a:ext cx="45720"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矩形 3" o:spid="_x0000_s1026" o:spt="1" style="position:absolute;left:0pt;margin-left:266.45pt;margin-top:304pt;height:0.5pt;width:3.6pt;mso-position-horizontal-relative:page;mso-position-vertical-relative:page;z-index:-261830656;mso-width-relative:page;mso-height-relative:page;" fillcolor="#000000" filled="t" stroked="f" coordsize="21600,21600" o:gfxdata="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aFYoLaAAAACwEAAA8AAAAAAAAAAQAgAAAA&#10;IgAAAGRycy9kb3ducmV2LnhtbFBLAQIUABQAAAAIAIdO4kCptHBilwEAABgDAAAOAAAAAAAAAAEA&#10;IAAAACkBAABkcnMvZTJvRG9jLnhtbFBLBQYAAAAABgAGAFkBAAAyBQAAAAA=&#10;">
                <v:fill on="t" focussize="0,0"/>
                <v:stroke on="f"/>
                <v:imagedata o:title=""/>
                <o:lock v:ext="edit" aspectratio="f"/>
                <v:textbox>
                  <w:txbxContent>
                    <w:p>
                      <w:pPr>
                        <w:jc w:val="center"/>
                      </w:pPr>
                    </w:p>
                  </w:txbxContent>
                </v:textbox>
              </v:rect>
            </w:pict>
          </mc:Fallback>
        </mc:AlternateContent>
      </w:r>
      <w:bookmarkStart w:id="78" w:name="_bookmark2"/>
      <w:bookmarkEnd w:id="78"/>
      <w:bookmarkStart w:id="79" w:name="第三章__评标办法（综合评估法）"/>
      <w:bookmarkEnd w:id="79"/>
      <w:r>
        <w:rPr>
          <w:rFonts w:hint="eastAsia" w:ascii="黑体" w:eastAsia="黑体"/>
          <w:color w:val="auto"/>
          <w:sz w:val="32"/>
        </w:rPr>
        <w:t>第三章</w:t>
      </w:r>
      <w:r>
        <w:rPr>
          <w:rFonts w:hint="eastAsia" w:ascii="黑体" w:eastAsia="黑体"/>
          <w:color w:val="auto"/>
          <w:sz w:val="32"/>
        </w:rPr>
        <w:tab/>
      </w:r>
      <w:r>
        <w:rPr>
          <w:rFonts w:hint="eastAsia" w:ascii="黑体" w:eastAsia="黑体"/>
          <w:color w:val="auto"/>
          <w:sz w:val="32"/>
        </w:rPr>
        <w:t>评标办法（综合评估法）</w:t>
      </w:r>
    </w:p>
    <w:p>
      <w:pPr>
        <w:pStyle w:val="39"/>
        <w:jc w:val="center"/>
        <w:rPr>
          <w:color w:val="auto"/>
        </w:rPr>
      </w:pPr>
      <w:r>
        <w:rPr>
          <w:color w:val="auto"/>
        </w:rPr>
        <w:t>评标办法前附表</w:t>
      </w:r>
    </w:p>
    <w:tbl>
      <w:tblPr>
        <w:tblStyle w:val="16"/>
        <w:tblW w:w="9205" w:type="dxa"/>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7"/>
        <w:gridCol w:w="1046"/>
        <w:gridCol w:w="2014"/>
        <w:gridCol w:w="51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2013" w:type="dxa"/>
            <w:gridSpan w:val="2"/>
            <w:tcBorders>
              <w:bottom w:val="single" w:color="000000" w:sz="8" w:space="0"/>
              <w:right w:val="single" w:color="000000" w:sz="8" w:space="0"/>
            </w:tcBorders>
          </w:tcPr>
          <w:p>
            <w:pPr>
              <w:pStyle w:val="45"/>
              <w:spacing w:before="142"/>
              <w:ind w:left="688"/>
              <w:rPr>
                <w:b/>
                <w:color w:val="auto"/>
                <w:sz w:val="21"/>
              </w:rPr>
            </w:pPr>
            <w:r>
              <w:rPr>
                <w:b/>
                <w:color w:val="auto"/>
                <w:sz w:val="21"/>
              </w:rPr>
              <w:t>条款号</w:t>
            </w:r>
            <w:r>
              <w:rPr>
                <w:b/>
                <w:color w:val="auto"/>
                <w:w w:val="99"/>
                <w:sz w:val="21"/>
              </w:rPr>
              <w:t xml:space="preserve"> </w:t>
            </w:r>
          </w:p>
        </w:tc>
        <w:tc>
          <w:tcPr>
            <w:tcW w:w="2014" w:type="dxa"/>
            <w:tcBorders>
              <w:left w:val="single" w:color="000000" w:sz="8" w:space="0"/>
              <w:bottom w:val="single" w:color="000000" w:sz="8" w:space="0"/>
              <w:right w:val="single" w:color="000000" w:sz="8" w:space="0"/>
            </w:tcBorders>
          </w:tcPr>
          <w:p>
            <w:pPr>
              <w:pStyle w:val="45"/>
              <w:spacing w:before="142"/>
              <w:ind w:left="203" w:right="67"/>
              <w:jc w:val="center"/>
              <w:rPr>
                <w:b/>
                <w:color w:val="auto"/>
                <w:sz w:val="21"/>
              </w:rPr>
            </w:pPr>
            <w:r>
              <w:rPr>
                <w:b/>
                <w:color w:val="auto"/>
                <w:sz w:val="21"/>
              </w:rPr>
              <w:t>评审因素</w:t>
            </w:r>
            <w:r>
              <w:rPr>
                <w:b/>
                <w:color w:val="auto"/>
                <w:w w:val="99"/>
                <w:sz w:val="21"/>
              </w:rPr>
              <w:t xml:space="preserve"> </w:t>
            </w:r>
          </w:p>
        </w:tc>
        <w:tc>
          <w:tcPr>
            <w:tcW w:w="5178" w:type="dxa"/>
            <w:tcBorders>
              <w:left w:val="single" w:color="000000" w:sz="8" w:space="0"/>
              <w:bottom w:val="single" w:color="000000" w:sz="8" w:space="0"/>
            </w:tcBorders>
          </w:tcPr>
          <w:p>
            <w:pPr>
              <w:pStyle w:val="45"/>
              <w:spacing w:before="142"/>
              <w:ind w:left="2205" w:right="2064"/>
              <w:jc w:val="center"/>
              <w:rPr>
                <w:b/>
                <w:color w:val="auto"/>
                <w:sz w:val="21"/>
              </w:rPr>
            </w:pPr>
            <w:r>
              <w:rPr>
                <w:b/>
                <w:color w:val="auto"/>
                <w:sz w:val="21"/>
              </w:rPr>
              <w:t>评审标准</w:t>
            </w:r>
            <w:r>
              <w:rPr>
                <w:b/>
                <w:color w:val="auto"/>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restart"/>
            <w:tcBorders>
              <w:top w:val="single" w:color="000000" w:sz="8" w:space="0"/>
              <w:bottom w:val="single" w:color="000000" w:sz="8" w:space="0"/>
              <w:right w:val="single" w:color="000000" w:sz="8" w:space="0"/>
            </w:tcBorders>
          </w:tcPr>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spacing w:before="2"/>
              <w:rPr>
                <w:b/>
                <w:color w:val="auto"/>
                <w:sz w:val="17"/>
              </w:rPr>
            </w:pPr>
          </w:p>
          <w:p>
            <w:pPr>
              <w:pStyle w:val="45"/>
              <w:ind w:left="220"/>
              <w:rPr>
                <w:color w:val="auto"/>
                <w:sz w:val="21"/>
              </w:rPr>
            </w:pPr>
            <w:r>
              <w:rPr>
                <w:color w:val="auto"/>
                <w:sz w:val="21"/>
              </w:rPr>
              <w:t xml:space="preserve">2.1.1 </w:t>
            </w:r>
          </w:p>
        </w:tc>
        <w:tc>
          <w:tcPr>
            <w:tcW w:w="1046" w:type="dxa"/>
            <w:vMerge w:val="restart"/>
            <w:tcBorders>
              <w:top w:val="single" w:color="000000" w:sz="8" w:space="0"/>
              <w:left w:val="single" w:color="000000" w:sz="8" w:space="0"/>
              <w:bottom w:val="single" w:color="000000" w:sz="8" w:space="0"/>
              <w:right w:val="single" w:color="000000" w:sz="8" w:space="0"/>
            </w:tcBorders>
          </w:tcPr>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spacing w:before="12"/>
              <w:rPr>
                <w:b/>
                <w:color w:val="auto"/>
                <w:sz w:val="19"/>
              </w:rPr>
            </w:pPr>
          </w:p>
          <w:p>
            <w:pPr>
              <w:pStyle w:val="45"/>
              <w:spacing w:line="391" w:lineRule="auto"/>
              <w:ind w:left="210" w:right="76"/>
              <w:rPr>
                <w:color w:val="auto"/>
                <w:sz w:val="21"/>
              </w:rPr>
            </w:pPr>
            <w:r>
              <w:rPr>
                <w:color w:val="auto"/>
                <w:sz w:val="21"/>
              </w:rPr>
              <w:t xml:space="preserve">形式评审标准 </w:t>
            </w: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投标人名称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与营业执照、资质证书一致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4"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57"/>
              <w:ind w:left="203" w:right="67"/>
              <w:jc w:val="center"/>
              <w:rPr>
                <w:color w:val="auto"/>
                <w:sz w:val="21"/>
              </w:rPr>
            </w:pPr>
            <w:r>
              <w:rPr>
                <w:color w:val="auto"/>
                <w:sz w:val="21"/>
              </w:rPr>
              <w:t xml:space="preserve">投标函签字盖章 </w:t>
            </w:r>
          </w:p>
        </w:tc>
        <w:tc>
          <w:tcPr>
            <w:tcW w:w="5178" w:type="dxa"/>
            <w:tcBorders>
              <w:top w:val="single" w:color="000000" w:sz="8" w:space="0"/>
              <w:left w:val="single" w:color="000000" w:sz="8" w:space="0"/>
              <w:bottom w:val="single" w:color="000000" w:sz="8" w:space="0"/>
            </w:tcBorders>
          </w:tcPr>
          <w:p>
            <w:pPr>
              <w:pStyle w:val="45"/>
              <w:spacing w:before="157"/>
              <w:ind w:left="113"/>
              <w:rPr>
                <w:color w:val="auto"/>
                <w:sz w:val="21"/>
              </w:rPr>
            </w:pPr>
            <w:r>
              <w:rPr>
                <w:color w:val="auto"/>
                <w:sz w:val="21"/>
              </w:rPr>
              <w:t xml:space="preserve">有法定代表人或其委托代理人签字和加盖单位章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67"/>
              <w:jc w:val="center"/>
              <w:rPr>
                <w:color w:val="auto"/>
                <w:sz w:val="21"/>
              </w:rPr>
            </w:pPr>
            <w:r>
              <w:rPr>
                <w:color w:val="auto"/>
                <w:sz w:val="21"/>
              </w:rPr>
              <w:t xml:space="preserve">投标文件格式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符合第七章“投标文件格式”的要求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报价唯一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只能有一个有效报价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4"/>
              <w:rPr>
                <w:b/>
                <w:color w:val="auto"/>
                <w:sz w:val="26"/>
              </w:rPr>
            </w:pPr>
          </w:p>
          <w:p>
            <w:pPr>
              <w:pStyle w:val="45"/>
              <w:ind w:left="203" w:right="67"/>
              <w:jc w:val="center"/>
              <w:rPr>
                <w:color w:val="auto"/>
                <w:sz w:val="21"/>
              </w:rPr>
            </w:pPr>
            <w:r>
              <w:rPr>
                <w:color w:val="auto"/>
                <w:sz w:val="21"/>
              </w:rPr>
              <w:t xml:space="preserve">投标文件的数量 </w:t>
            </w:r>
          </w:p>
        </w:tc>
        <w:tc>
          <w:tcPr>
            <w:tcW w:w="5178" w:type="dxa"/>
            <w:tcBorders>
              <w:top w:val="single" w:color="000000" w:sz="8" w:space="0"/>
              <w:left w:val="single" w:color="000000" w:sz="8" w:space="0"/>
              <w:bottom w:val="single" w:color="000000" w:sz="8" w:space="0"/>
            </w:tcBorders>
          </w:tcPr>
          <w:p>
            <w:pPr>
              <w:pStyle w:val="45"/>
              <w:spacing w:before="3" w:line="278" w:lineRule="auto"/>
              <w:ind w:left="113" w:right="203"/>
              <w:rPr>
                <w:color w:val="auto"/>
                <w:sz w:val="21"/>
              </w:rPr>
            </w:pPr>
            <w:r>
              <w:rPr>
                <w:color w:val="auto"/>
                <w:sz w:val="21"/>
              </w:rPr>
              <w:t xml:space="preserve">投标文件的正本、副本数量符合第二章投标人须知第3.7.4款规定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
              <w:rPr>
                <w:b/>
                <w:color w:val="auto"/>
                <w:sz w:val="14"/>
              </w:rPr>
            </w:pPr>
          </w:p>
          <w:p>
            <w:pPr>
              <w:pStyle w:val="45"/>
              <w:ind w:left="203" w:right="67"/>
              <w:jc w:val="center"/>
              <w:rPr>
                <w:color w:val="auto"/>
                <w:sz w:val="21"/>
              </w:rPr>
            </w:pPr>
            <w:r>
              <w:rPr>
                <w:color w:val="auto"/>
                <w:sz w:val="21"/>
              </w:rPr>
              <w:t xml:space="preserve">投标文件的装订 </w:t>
            </w:r>
          </w:p>
        </w:tc>
        <w:tc>
          <w:tcPr>
            <w:tcW w:w="5178" w:type="dxa"/>
            <w:tcBorders>
              <w:top w:val="single" w:color="000000" w:sz="8" w:space="0"/>
              <w:left w:val="single" w:color="000000" w:sz="8" w:space="0"/>
              <w:bottom w:val="single" w:color="000000" w:sz="8" w:space="0"/>
            </w:tcBorders>
          </w:tcPr>
          <w:p>
            <w:pPr>
              <w:pStyle w:val="45"/>
              <w:ind w:left="113" w:right="-15"/>
              <w:rPr>
                <w:color w:val="auto"/>
                <w:sz w:val="21"/>
              </w:rPr>
            </w:pPr>
            <w:r>
              <w:rPr>
                <w:color w:val="auto"/>
                <w:spacing w:val="-3"/>
                <w:sz w:val="21"/>
              </w:rPr>
              <w:t>投标文件的装订符合第二章投标人须知第</w:t>
            </w:r>
            <w:r>
              <w:rPr>
                <w:color w:val="auto"/>
                <w:sz w:val="21"/>
              </w:rPr>
              <w:t>3.7.5</w:t>
            </w:r>
            <w:r>
              <w:rPr>
                <w:color w:val="auto"/>
                <w:spacing w:val="-2"/>
                <w:sz w:val="21"/>
              </w:rPr>
              <w:t xml:space="preserve">款规定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59"/>
              <w:ind w:left="112" w:right="-15"/>
              <w:jc w:val="center"/>
              <w:rPr>
                <w:color w:val="auto"/>
                <w:sz w:val="21"/>
              </w:rPr>
            </w:pPr>
            <w:r>
              <w:rPr>
                <w:color w:val="auto"/>
                <w:sz w:val="21"/>
              </w:rPr>
              <w:t xml:space="preserve"> </w:t>
            </w:r>
            <w:r>
              <w:rPr>
                <w:color w:val="auto"/>
                <w:spacing w:val="-3"/>
                <w:sz w:val="21"/>
              </w:rPr>
              <w:t>资质等级证书副本</w:t>
            </w:r>
            <w:r>
              <w:rPr>
                <w:color w:val="auto"/>
                <w:sz w:val="21"/>
              </w:rPr>
              <w:t xml:space="preserve"> </w:t>
            </w:r>
          </w:p>
        </w:tc>
        <w:tc>
          <w:tcPr>
            <w:tcW w:w="5178" w:type="dxa"/>
            <w:tcBorders>
              <w:top w:val="single" w:color="000000" w:sz="8" w:space="0"/>
              <w:left w:val="single" w:color="000000" w:sz="8" w:space="0"/>
              <w:bottom w:val="single" w:color="000000" w:sz="8" w:space="0"/>
            </w:tcBorders>
          </w:tcPr>
          <w:p>
            <w:pPr>
              <w:pStyle w:val="45"/>
              <w:spacing w:before="1" w:line="280" w:lineRule="auto"/>
              <w:ind w:left="113" w:right="203"/>
              <w:rPr>
                <w:color w:val="auto"/>
                <w:sz w:val="21"/>
              </w:rPr>
            </w:pPr>
            <w:r>
              <w:rPr>
                <w:color w:val="auto"/>
                <w:sz w:val="21"/>
              </w:rPr>
              <w:t xml:space="preserve">投标文件中所附资质证书副本复印件内容与招标要求是否一致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967" w:type="dxa"/>
            <w:vMerge w:val="continue"/>
            <w:tcBorders>
              <w:top w:val="nil"/>
              <w:bottom w:val="single" w:color="000000" w:sz="8" w:space="0"/>
              <w:right w:val="single" w:color="000000" w:sz="8" w:space="0"/>
            </w:tcBorders>
          </w:tcPr>
          <w:p>
            <w:pPr>
              <w:rPr>
                <w:color w:val="auto"/>
                <w:sz w:val="2"/>
                <w:szCs w:val="2"/>
              </w:rPr>
            </w:pPr>
          </w:p>
        </w:tc>
        <w:tc>
          <w:tcPr>
            <w:tcW w:w="1046" w:type="dxa"/>
            <w:vMerge w:val="continue"/>
            <w:tcBorders>
              <w:top w:val="nil"/>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right w:val="single" w:color="000000" w:sz="8" w:space="0"/>
            </w:tcBorders>
          </w:tcPr>
          <w:p>
            <w:pPr>
              <w:pStyle w:val="45"/>
              <w:spacing w:line="280" w:lineRule="auto"/>
              <w:ind w:left="112" w:right="196"/>
              <w:rPr>
                <w:color w:val="auto"/>
                <w:sz w:val="21"/>
                <w:lang w:val="en-US"/>
              </w:rPr>
            </w:pPr>
            <w:r>
              <w:rPr>
                <w:rFonts w:hint="eastAsia"/>
                <w:color w:val="auto"/>
                <w:sz w:val="21"/>
                <w:lang w:val="en-US"/>
              </w:rPr>
              <w:t>......</w:t>
            </w:r>
          </w:p>
        </w:tc>
        <w:tc>
          <w:tcPr>
            <w:tcW w:w="5178" w:type="dxa"/>
            <w:tcBorders>
              <w:top w:val="single" w:color="000000" w:sz="8" w:space="0"/>
              <w:left w:val="single" w:color="000000" w:sz="8" w:space="0"/>
              <w:bottom w:val="single" w:color="000000" w:sz="8" w:space="0"/>
            </w:tcBorders>
          </w:tcPr>
          <w:p>
            <w:pPr>
              <w:pStyle w:val="45"/>
              <w:spacing w:line="280" w:lineRule="auto"/>
              <w:ind w:left="113" w:right="203"/>
              <w:rPr>
                <w:color w:val="auto"/>
                <w:sz w:val="21"/>
              </w:rPr>
            </w:pPr>
            <w:r>
              <w:rPr>
                <w:rFonts w:hint="eastAsia"/>
                <w:color w:val="auto"/>
                <w:sz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7" w:type="dxa"/>
            <w:vMerge w:val="restart"/>
            <w:tcBorders>
              <w:top w:val="single" w:color="000000" w:sz="8" w:space="0"/>
              <w:right w:val="single" w:color="000000" w:sz="8" w:space="0"/>
            </w:tcBorders>
          </w:tcPr>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spacing w:before="2"/>
              <w:rPr>
                <w:b/>
                <w:color w:val="auto"/>
                <w:sz w:val="21"/>
              </w:rPr>
            </w:pPr>
          </w:p>
          <w:p>
            <w:pPr>
              <w:pStyle w:val="45"/>
              <w:ind w:left="220"/>
              <w:rPr>
                <w:color w:val="auto"/>
                <w:sz w:val="21"/>
              </w:rPr>
            </w:pPr>
            <w:r>
              <w:rPr>
                <w:color w:val="auto"/>
                <w:sz w:val="21"/>
              </w:rPr>
              <w:t xml:space="preserve">2.1.3 </w:t>
            </w:r>
          </w:p>
        </w:tc>
        <w:tc>
          <w:tcPr>
            <w:tcW w:w="1046" w:type="dxa"/>
            <w:vMerge w:val="restart"/>
            <w:tcBorders>
              <w:top w:val="single" w:color="000000" w:sz="8" w:space="0"/>
              <w:left w:val="single" w:color="000000" w:sz="8" w:space="0"/>
              <w:right w:val="single" w:color="000000" w:sz="8" w:space="0"/>
            </w:tcBorders>
          </w:tcPr>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spacing w:before="11"/>
              <w:rPr>
                <w:b/>
                <w:color w:val="auto"/>
                <w:sz w:val="23"/>
              </w:rPr>
            </w:pPr>
          </w:p>
          <w:p>
            <w:pPr>
              <w:pStyle w:val="45"/>
              <w:spacing w:before="1" w:line="393" w:lineRule="auto"/>
              <w:ind w:left="210" w:right="76"/>
              <w:rPr>
                <w:color w:val="auto"/>
                <w:sz w:val="21"/>
              </w:rPr>
            </w:pPr>
            <w:r>
              <w:rPr>
                <w:color w:val="auto"/>
                <w:sz w:val="21"/>
              </w:rPr>
              <w:t xml:space="preserve">资格评审标准 </w:t>
            </w:r>
          </w:p>
        </w:tc>
        <w:tc>
          <w:tcPr>
            <w:tcW w:w="2014" w:type="dxa"/>
            <w:tcBorders>
              <w:top w:val="single" w:color="000000" w:sz="8" w:space="0"/>
              <w:left w:val="single" w:color="000000" w:sz="8" w:space="0"/>
              <w:bottom w:val="single" w:color="000000" w:sz="4" w:space="0"/>
              <w:right w:val="single" w:color="000000" w:sz="8" w:space="0"/>
            </w:tcBorders>
          </w:tcPr>
          <w:p>
            <w:pPr>
              <w:pStyle w:val="45"/>
              <w:spacing w:before="2"/>
              <w:rPr>
                <w:b/>
                <w:color w:val="auto"/>
                <w:sz w:val="16"/>
              </w:rPr>
            </w:pPr>
          </w:p>
          <w:p>
            <w:pPr>
              <w:pStyle w:val="45"/>
              <w:ind w:left="203" w:right="70"/>
              <w:jc w:val="center"/>
              <w:rPr>
                <w:color w:val="auto"/>
                <w:sz w:val="21"/>
              </w:rPr>
            </w:pPr>
            <w:r>
              <w:rPr>
                <w:color w:val="auto"/>
                <w:sz w:val="21"/>
              </w:rPr>
              <w:t xml:space="preserve">营业执照 </w:t>
            </w:r>
          </w:p>
        </w:tc>
        <w:tc>
          <w:tcPr>
            <w:tcW w:w="5178" w:type="dxa"/>
            <w:tcBorders>
              <w:top w:val="single" w:color="000000" w:sz="8" w:space="0"/>
              <w:left w:val="single" w:color="000000" w:sz="8" w:space="0"/>
              <w:bottom w:val="single" w:color="000000" w:sz="4" w:space="0"/>
            </w:tcBorders>
          </w:tcPr>
          <w:p>
            <w:pPr>
              <w:pStyle w:val="45"/>
              <w:spacing w:before="2"/>
              <w:rPr>
                <w:b/>
                <w:color w:val="auto"/>
                <w:sz w:val="16"/>
              </w:rPr>
            </w:pPr>
          </w:p>
          <w:p>
            <w:pPr>
              <w:pStyle w:val="45"/>
              <w:ind w:left="113"/>
              <w:rPr>
                <w:color w:val="auto"/>
                <w:sz w:val="21"/>
              </w:rPr>
            </w:pPr>
            <w:r>
              <w:rPr>
                <w:color w:val="auto"/>
                <w:sz w:val="21"/>
              </w:rPr>
              <w:t xml:space="preserve">具备有效的营业执照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4" w:space="0"/>
              <w:left w:val="single" w:color="000000" w:sz="8" w:space="0"/>
              <w:bottom w:val="single" w:color="000000" w:sz="8" w:space="0"/>
              <w:right w:val="single" w:color="000000" w:sz="8" w:space="0"/>
            </w:tcBorders>
          </w:tcPr>
          <w:p>
            <w:pPr>
              <w:pStyle w:val="45"/>
              <w:spacing w:before="147"/>
              <w:ind w:left="203" w:right="70"/>
              <w:jc w:val="center"/>
              <w:rPr>
                <w:color w:val="auto"/>
                <w:sz w:val="21"/>
              </w:rPr>
            </w:pPr>
            <w:r>
              <w:rPr>
                <w:color w:val="auto"/>
                <w:sz w:val="21"/>
              </w:rPr>
              <w:t xml:space="preserve">资质等级 </w:t>
            </w:r>
          </w:p>
        </w:tc>
        <w:tc>
          <w:tcPr>
            <w:tcW w:w="5178" w:type="dxa"/>
            <w:tcBorders>
              <w:top w:val="single" w:color="000000" w:sz="4" w:space="0"/>
              <w:left w:val="single" w:color="000000" w:sz="8" w:space="0"/>
              <w:bottom w:val="single" w:color="000000" w:sz="8" w:space="0"/>
            </w:tcBorders>
          </w:tcPr>
          <w:p>
            <w:pPr>
              <w:pStyle w:val="45"/>
              <w:spacing w:before="147"/>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5"/>
              <w:ind w:left="203" w:right="67"/>
              <w:jc w:val="center"/>
              <w:rPr>
                <w:color w:val="auto"/>
                <w:sz w:val="21"/>
              </w:rPr>
            </w:pPr>
            <w:r>
              <w:rPr>
                <w:color w:val="auto"/>
                <w:sz w:val="21"/>
              </w:rPr>
              <w:t xml:space="preserve">信誉 </w:t>
            </w:r>
          </w:p>
        </w:tc>
        <w:tc>
          <w:tcPr>
            <w:tcW w:w="5178" w:type="dxa"/>
            <w:tcBorders>
              <w:top w:val="single" w:color="000000" w:sz="8" w:space="0"/>
              <w:left w:val="single" w:color="000000" w:sz="8" w:space="0"/>
              <w:bottom w:val="single" w:color="000000" w:sz="8" w:space="0"/>
            </w:tcBorders>
          </w:tcPr>
          <w:p>
            <w:pPr>
              <w:pStyle w:val="45"/>
              <w:spacing w:before="145"/>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72"/>
              <w:ind w:left="485"/>
              <w:rPr>
                <w:color w:val="auto"/>
                <w:sz w:val="21"/>
              </w:rPr>
            </w:pPr>
            <w:r>
              <w:rPr>
                <w:color w:val="auto"/>
                <w:sz w:val="21"/>
              </w:rPr>
              <w:t>项目经理</w:t>
            </w:r>
          </w:p>
        </w:tc>
        <w:tc>
          <w:tcPr>
            <w:tcW w:w="5178" w:type="dxa"/>
            <w:tcBorders>
              <w:top w:val="single" w:color="000000" w:sz="8" w:space="0"/>
              <w:left w:val="single" w:color="000000" w:sz="8" w:space="0"/>
              <w:bottom w:val="single" w:color="000000" w:sz="8" w:space="0"/>
            </w:tcBorders>
          </w:tcPr>
          <w:p>
            <w:pPr>
              <w:pStyle w:val="45"/>
              <w:spacing w:before="5"/>
              <w:rPr>
                <w:b/>
                <w:color w:val="auto"/>
                <w:sz w:val="28"/>
              </w:rPr>
            </w:pPr>
          </w:p>
          <w:p>
            <w:pPr>
              <w:pStyle w:val="45"/>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设计负责人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67"/>
              <w:jc w:val="center"/>
              <w:rPr>
                <w:color w:val="auto"/>
                <w:sz w:val="21"/>
              </w:rPr>
            </w:pPr>
            <w:r>
              <w:rPr>
                <w:color w:val="auto"/>
                <w:sz w:val="21"/>
              </w:rPr>
              <w:t xml:space="preserve">施工技术负责人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67" w:type="dxa"/>
            <w:vMerge w:val="continue"/>
            <w:tcBorders>
              <w:right w:val="single" w:color="000000" w:sz="8" w:space="0"/>
            </w:tcBorders>
          </w:tcPr>
          <w:p>
            <w:pPr>
              <w:rPr>
                <w:color w:val="auto"/>
                <w:sz w:val="2"/>
                <w:szCs w:val="2"/>
              </w:rPr>
            </w:pPr>
          </w:p>
        </w:tc>
        <w:tc>
          <w:tcPr>
            <w:tcW w:w="1046" w:type="dxa"/>
            <w:vMerge w:val="continue"/>
            <w:tcBorders>
              <w:left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4"/>
              <w:ind w:left="203" w:right="70"/>
              <w:jc w:val="center"/>
              <w:rPr>
                <w:color w:val="auto"/>
                <w:sz w:val="21"/>
              </w:rPr>
            </w:pPr>
            <w:r>
              <w:rPr>
                <w:color w:val="auto"/>
                <w:sz w:val="21"/>
              </w:rPr>
              <w:t xml:space="preserve">其他要求 </w:t>
            </w:r>
          </w:p>
        </w:tc>
        <w:tc>
          <w:tcPr>
            <w:tcW w:w="5178" w:type="dxa"/>
            <w:tcBorders>
              <w:top w:val="single" w:color="000000" w:sz="8" w:space="0"/>
              <w:left w:val="single" w:color="000000" w:sz="8" w:space="0"/>
              <w:bottom w:val="single" w:color="000000" w:sz="8" w:space="0"/>
            </w:tcBorders>
          </w:tcPr>
          <w:p>
            <w:pPr>
              <w:pStyle w:val="45"/>
              <w:spacing w:before="144"/>
              <w:ind w:left="113"/>
              <w:rPr>
                <w:color w:val="auto"/>
                <w:sz w:val="21"/>
              </w:rPr>
            </w:pPr>
            <w:r>
              <w:rPr>
                <w:color w:val="auto"/>
                <w:sz w:val="21"/>
              </w:rPr>
              <w:t xml:space="preserve">符合第二章“投标人须知”第1.4.1项规定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67" w:type="dxa"/>
            <w:vMerge w:val="continue"/>
            <w:tcBorders>
              <w:bottom w:val="single" w:color="000000" w:sz="8" w:space="0"/>
              <w:right w:val="single" w:color="000000" w:sz="8" w:space="0"/>
            </w:tcBorders>
          </w:tcPr>
          <w:p>
            <w:pPr>
              <w:rPr>
                <w:color w:val="auto"/>
                <w:sz w:val="2"/>
                <w:szCs w:val="2"/>
              </w:rPr>
            </w:pPr>
          </w:p>
        </w:tc>
        <w:tc>
          <w:tcPr>
            <w:tcW w:w="1046" w:type="dxa"/>
            <w:vMerge w:val="continue"/>
            <w:tcBorders>
              <w:left w:val="single" w:color="000000" w:sz="8" w:space="0"/>
              <w:bottom w:val="single" w:color="000000" w:sz="8" w:space="0"/>
              <w:right w:val="single" w:color="000000" w:sz="8" w:space="0"/>
            </w:tcBorders>
          </w:tcPr>
          <w:p>
            <w:pPr>
              <w:rPr>
                <w:color w:val="auto"/>
                <w:sz w:val="2"/>
                <w:szCs w:val="2"/>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line="280" w:lineRule="auto"/>
              <w:ind w:left="112" w:right="196"/>
              <w:rPr>
                <w:color w:val="auto"/>
                <w:sz w:val="21"/>
                <w:lang w:val="en-US"/>
              </w:rPr>
            </w:pPr>
            <w:r>
              <w:rPr>
                <w:rFonts w:hint="eastAsia"/>
                <w:color w:val="auto"/>
                <w:sz w:val="21"/>
                <w:lang w:val="en-US"/>
              </w:rPr>
              <w:t>......</w:t>
            </w:r>
          </w:p>
        </w:tc>
        <w:tc>
          <w:tcPr>
            <w:tcW w:w="5178" w:type="dxa"/>
            <w:tcBorders>
              <w:top w:val="single" w:color="000000" w:sz="8" w:space="0"/>
              <w:left w:val="single" w:color="000000" w:sz="8" w:space="0"/>
              <w:bottom w:val="single" w:color="000000" w:sz="8" w:space="0"/>
            </w:tcBorders>
          </w:tcPr>
          <w:p>
            <w:pPr>
              <w:pStyle w:val="45"/>
              <w:spacing w:line="280" w:lineRule="auto"/>
              <w:ind w:left="113" w:right="203"/>
              <w:rPr>
                <w:color w:val="auto"/>
                <w:sz w:val="21"/>
              </w:rPr>
            </w:pPr>
            <w:r>
              <w:rPr>
                <w:rFonts w:hint="eastAsia"/>
                <w:color w:val="auto"/>
                <w:sz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restart"/>
            <w:tcBorders>
              <w:top w:val="single" w:color="000000" w:sz="8" w:space="0"/>
              <w:right w:val="single" w:color="000000" w:sz="8" w:space="0"/>
            </w:tcBorders>
          </w:tcPr>
          <w:p>
            <w:pPr>
              <w:pStyle w:val="45"/>
              <w:spacing w:before="142"/>
              <w:ind w:left="220"/>
              <w:rPr>
                <w:color w:val="auto"/>
                <w:sz w:val="21"/>
              </w:rPr>
            </w:pPr>
            <w:r>
              <w:rPr>
                <w:color w:val="auto"/>
                <w:sz w:val="21"/>
              </w:rPr>
              <w:t xml:space="preserve">2.1.3 </w:t>
            </w:r>
          </w:p>
        </w:tc>
        <w:tc>
          <w:tcPr>
            <w:tcW w:w="1046" w:type="dxa"/>
            <w:vMerge w:val="restart"/>
            <w:tcBorders>
              <w:top w:val="single" w:color="000000" w:sz="8" w:space="0"/>
              <w:left w:val="single" w:color="000000" w:sz="8" w:space="0"/>
              <w:right w:val="single" w:color="000000" w:sz="8" w:space="0"/>
            </w:tcBorders>
          </w:tcPr>
          <w:p>
            <w:pPr>
              <w:pStyle w:val="45"/>
              <w:spacing w:before="142"/>
              <w:ind w:left="210"/>
              <w:rPr>
                <w:color w:val="auto"/>
                <w:sz w:val="21"/>
              </w:rPr>
            </w:pPr>
            <w:r>
              <w:rPr>
                <w:color w:val="auto"/>
                <w:sz w:val="21"/>
              </w:rPr>
              <w:t>响应性</w:t>
            </w:r>
          </w:p>
          <w:p>
            <w:pPr>
              <w:pStyle w:val="45"/>
              <w:spacing w:before="142"/>
              <w:ind w:left="210"/>
              <w:rPr>
                <w:color w:val="auto"/>
                <w:sz w:val="21"/>
              </w:rPr>
            </w:pPr>
            <w:r>
              <w:rPr>
                <w:color w:val="auto"/>
                <w:sz w:val="21"/>
              </w:rPr>
              <w:t xml:space="preserve">评审标准 </w:t>
            </w: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投标报价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符合第二章“投标人须知”第3.2.4项规定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5"/>
              <w:ind w:left="203" w:right="70"/>
              <w:jc w:val="center"/>
              <w:rPr>
                <w:color w:val="auto"/>
                <w:sz w:val="21"/>
              </w:rPr>
            </w:pPr>
            <w:r>
              <w:rPr>
                <w:color w:val="auto"/>
                <w:sz w:val="21"/>
              </w:rPr>
              <w:t xml:space="preserve">投标内容 </w:t>
            </w:r>
          </w:p>
        </w:tc>
        <w:tc>
          <w:tcPr>
            <w:tcW w:w="5178" w:type="dxa"/>
            <w:tcBorders>
              <w:top w:val="single" w:color="000000" w:sz="8" w:space="0"/>
              <w:left w:val="single" w:color="000000" w:sz="8" w:space="0"/>
              <w:bottom w:val="single" w:color="000000" w:sz="8" w:space="0"/>
            </w:tcBorders>
          </w:tcPr>
          <w:p>
            <w:pPr>
              <w:pStyle w:val="45"/>
              <w:spacing w:before="145"/>
              <w:ind w:left="113"/>
              <w:rPr>
                <w:color w:val="auto"/>
                <w:sz w:val="21"/>
              </w:rPr>
            </w:pPr>
            <w:r>
              <w:rPr>
                <w:color w:val="auto"/>
                <w:sz w:val="21"/>
              </w:rPr>
              <w:t xml:space="preserve">符合第二章“投标人须知”第1.3.1项规定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67"/>
              <w:jc w:val="center"/>
              <w:rPr>
                <w:color w:val="auto"/>
                <w:sz w:val="21"/>
              </w:rPr>
            </w:pPr>
            <w:r>
              <w:rPr>
                <w:color w:val="auto"/>
                <w:sz w:val="21"/>
              </w:rPr>
              <w:t xml:space="preserve">工期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符合第二章“投标人须知”第1.3.2项规定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质量标准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符合第二章“投标人须知”第1.3.3项规定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4"/>
              <w:ind w:left="203" w:right="70"/>
              <w:jc w:val="center"/>
              <w:rPr>
                <w:color w:val="auto"/>
                <w:sz w:val="21"/>
              </w:rPr>
            </w:pPr>
            <w:r>
              <w:rPr>
                <w:color w:val="auto"/>
                <w:sz w:val="21"/>
              </w:rPr>
              <w:t xml:space="preserve">投标有效期 </w:t>
            </w:r>
          </w:p>
        </w:tc>
        <w:tc>
          <w:tcPr>
            <w:tcW w:w="5178" w:type="dxa"/>
            <w:tcBorders>
              <w:top w:val="single" w:color="000000" w:sz="8" w:space="0"/>
              <w:left w:val="single" w:color="000000" w:sz="8" w:space="0"/>
              <w:bottom w:val="single" w:color="000000" w:sz="8" w:space="0"/>
            </w:tcBorders>
          </w:tcPr>
          <w:p>
            <w:pPr>
              <w:pStyle w:val="45"/>
              <w:spacing w:before="144"/>
              <w:ind w:left="113"/>
              <w:rPr>
                <w:color w:val="auto"/>
                <w:sz w:val="21"/>
              </w:rPr>
            </w:pPr>
            <w:r>
              <w:rPr>
                <w:color w:val="auto"/>
                <w:sz w:val="21"/>
              </w:rPr>
              <w:t xml:space="preserve">符合第二章“投标人须知”第3.3.1项规定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投标保证金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符合第二章“投标人须知”第3.4款规定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权利义务 </w:t>
            </w:r>
          </w:p>
        </w:tc>
        <w:tc>
          <w:tcPr>
            <w:tcW w:w="5178" w:type="dxa"/>
            <w:tcBorders>
              <w:top w:val="single" w:color="000000" w:sz="8" w:space="0"/>
              <w:left w:val="single" w:color="000000" w:sz="8" w:space="0"/>
              <w:bottom w:val="single" w:color="000000" w:sz="8" w:space="0"/>
            </w:tcBorders>
          </w:tcPr>
          <w:p>
            <w:pPr>
              <w:pStyle w:val="45"/>
              <w:spacing w:before="142"/>
              <w:ind w:left="113"/>
              <w:rPr>
                <w:color w:val="auto"/>
                <w:sz w:val="21"/>
              </w:rPr>
            </w:pPr>
            <w:r>
              <w:rPr>
                <w:color w:val="auto"/>
                <w:sz w:val="21"/>
              </w:rPr>
              <w:t xml:space="preserve">符合第四章“合同条款及格式”规定的权利义务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67" w:type="dxa"/>
            <w:vMerge w:val="continue"/>
            <w:tcBorders>
              <w:bottom w:val="single" w:color="000000" w:sz="8" w:space="0"/>
              <w:right w:val="single" w:color="000000" w:sz="8" w:space="0"/>
            </w:tcBorders>
          </w:tcPr>
          <w:p>
            <w:pPr>
              <w:pStyle w:val="45"/>
              <w:spacing w:before="142"/>
              <w:ind w:left="220"/>
              <w:rPr>
                <w:color w:val="auto"/>
                <w:sz w:val="21"/>
              </w:rPr>
            </w:pPr>
          </w:p>
        </w:tc>
        <w:tc>
          <w:tcPr>
            <w:tcW w:w="1046" w:type="dxa"/>
            <w:vMerge w:val="continue"/>
            <w:tcBorders>
              <w:left w:val="single" w:color="000000" w:sz="8" w:space="0"/>
              <w:right w:val="single" w:color="000000" w:sz="8" w:space="0"/>
            </w:tcBorders>
          </w:tcPr>
          <w:p>
            <w:pPr>
              <w:pStyle w:val="45"/>
              <w:spacing w:before="142"/>
              <w:ind w:left="210"/>
              <w:rPr>
                <w:color w:val="auto"/>
                <w:sz w:val="21"/>
              </w:rPr>
            </w:pPr>
          </w:p>
        </w:tc>
        <w:tc>
          <w:tcPr>
            <w:tcW w:w="2014" w:type="dxa"/>
            <w:tcBorders>
              <w:top w:val="single" w:color="000000" w:sz="8" w:space="0"/>
              <w:left w:val="single" w:color="000000" w:sz="8" w:space="0"/>
              <w:bottom w:val="single" w:color="000000" w:sz="8" w:space="0"/>
              <w:right w:val="single" w:color="000000" w:sz="8" w:space="0"/>
            </w:tcBorders>
          </w:tcPr>
          <w:p>
            <w:pPr>
              <w:pStyle w:val="45"/>
              <w:spacing w:line="280" w:lineRule="auto"/>
              <w:ind w:left="112" w:right="196"/>
              <w:rPr>
                <w:color w:val="auto"/>
                <w:sz w:val="21"/>
                <w:lang w:val="en-US"/>
              </w:rPr>
            </w:pPr>
            <w:r>
              <w:rPr>
                <w:rFonts w:hint="eastAsia"/>
                <w:color w:val="auto"/>
                <w:sz w:val="21"/>
                <w:lang w:val="en-US"/>
              </w:rPr>
              <w:t>......</w:t>
            </w:r>
          </w:p>
        </w:tc>
        <w:tc>
          <w:tcPr>
            <w:tcW w:w="5178" w:type="dxa"/>
            <w:tcBorders>
              <w:top w:val="single" w:color="000000" w:sz="8" w:space="0"/>
              <w:left w:val="single" w:color="000000" w:sz="8" w:space="0"/>
              <w:bottom w:val="single" w:color="000000" w:sz="8" w:space="0"/>
            </w:tcBorders>
          </w:tcPr>
          <w:p>
            <w:pPr>
              <w:pStyle w:val="45"/>
              <w:spacing w:line="280" w:lineRule="auto"/>
              <w:ind w:left="113" w:right="203"/>
              <w:rPr>
                <w:color w:val="auto"/>
                <w:sz w:val="21"/>
              </w:rPr>
            </w:pPr>
            <w:r>
              <w:rPr>
                <w:rFonts w:hint="eastAsia"/>
                <w:color w:val="auto"/>
                <w:sz w:val="21"/>
                <w:lang w:val="en-US"/>
              </w:rPr>
              <w:t>......</w:t>
            </w:r>
          </w:p>
        </w:tc>
      </w:tr>
    </w:tbl>
    <w:p>
      <w:pPr>
        <w:pStyle w:val="39"/>
        <w:jc w:val="center"/>
        <w:rPr>
          <w:color w:val="auto"/>
        </w:rPr>
      </w:pPr>
    </w:p>
    <w:p>
      <w:pPr>
        <w:pStyle w:val="8"/>
        <w:spacing w:before="6" w:after="1"/>
        <w:rPr>
          <w:rFonts w:ascii="黑体"/>
          <w:color w:val="auto"/>
          <w:sz w:val="9"/>
        </w:rPr>
      </w:pPr>
    </w:p>
    <w:tbl>
      <w:tblPr>
        <w:tblStyle w:val="16"/>
        <w:tblW w:w="9218" w:type="dxa"/>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15"/>
        <w:gridCol w:w="2016"/>
        <w:gridCol w:w="51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5" w:hRule="atLeast"/>
        </w:trPr>
        <w:tc>
          <w:tcPr>
            <w:tcW w:w="2015" w:type="dxa"/>
            <w:tcBorders>
              <w:top w:val="single" w:color="000000" w:sz="8" w:space="0"/>
              <w:bottom w:val="single" w:color="000000" w:sz="8" w:space="0"/>
              <w:right w:val="single" w:color="000000" w:sz="8" w:space="0"/>
            </w:tcBorders>
          </w:tcPr>
          <w:p>
            <w:pPr>
              <w:pStyle w:val="45"/>
              <w:spacing w:before="4"/>
              <w:rPr>
                <w:b/>
                <w:color w:val="auto"/>
                <w:sz w:val="19"/>
              </w:rPr>
            </w:pPr>
          </w:p>
          <w:p>
            <w:pPr>
              <w:pStyle w:val="45"/>
              <w:ind w:left="688"/>
              <w:rPr>
                <w:b/>
                <w:color w:val="auto"/>
                <w:sz w:val="21"/>
              </w:rPr>
            </w:pPr>
            <w:r>
              <w:rPr>
                <w:b/>
                <w:color w:val="auto"/>
                <w:sz w:val="21"/>
              </w:rPr>
              <w:t>条款号</w:t>
            </w:r>
            <w:r>
              <w:rPr>
                <w:b/>
                <w:color w:val="auto"/>
                <w:w w:val="99"/>
                <w:sz w:val="21"/>
              </w:rPr>
              <w:t xml:space="preserve">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4"/>
              <w:rPr>
                <w:b/>
                <w:color w:val="auto"/>
                <w:sz w:val="19"/>
              </w:rPr>
            </w:pPr>
          </w:p>
          <w:p>
            <w:pPr>
              <w:pStyle w:val="45"/>
              <w:ind w:left="203" w:right="67"/>
              <w:jc w:val="center"/>
              <w:rPr>
                <w:b/>
                <w:color w:val="auto"/>
                <w:sz w:val="21"/>
              </w:rPr>
            </w:pPr>
            <w:r>
              <w:rPr>
                <w:b/>
                <w:color w:val="auto"/>
                <w:sz w:val="21"/>
              </w:rPr>
              <w:t>条款内容</w:t>
            </w:r>
            <w:r>
              <w:rPr>
                <w:b/>
                <w:color w:val="auto"/>
                <w:w w:val="99"/>
                <w:sz w:val="21"/>
              </w:rPr>
              <w:t xml:space="preserve"> </w:t>
            </w:r>
          </w:p>
        </w:tc>
        <w:tc>
          <w:tcPr>
            <w:tcW w:w="5187" w:type="dxa"/>
            <w:tcBorders>
              <w:top w:val="single" w:color="000000" w:sz="8" w:space="0"/>
              <w:left w:val="single" w:color="000000" w:sz="8" w:space="0"/>
              <w:bottom w:val="single" w:color="000000" w:sz="8" w:space="0"/>
            </w:tcBorders>
          </w:tcPr>
          <w:p>
            <w:pPr>
              <w:pStyle w:val="45"/>
              <w:spacing w:before="4"/>
              <w:rPr>
                <w:b/>
                <w:color w:val="auto"/>
                <w:sz w:val="19"/>
              </w:rPr>
            </w:pPr>
          </w:p>
          <w:p>
            <w:pPr>
              <w:pStyle w:val="45"/>
              <w:ind w:left="2205" w:right="2064"/>
              <w:jc w:val="center"/>
              <w:rPr>
                <w:b/>
                <w:color w:val="auto"/>
                <w:sz w:val="21"/>
              </w:rPr>
            </w:pPr>
            <w:r>
              <w:rPr>
                <w:b/>
                <w:color w:val="auto"/>
                <w:sz w:val="21"/>
              </w:rPr>
              <w:t>编列内容</w:t>
            </w:r>
            <w:r>
              <w:rPr>
                <w:b/>
                <w:color w:val="auto"/>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4" w:hRule="atLeast"/>
        </w:trPr>
        <w:tc>
          <w:tcPr>
            <w:tcW w:w="2015" w:type="dxa"/>
            <w:tcBorders>
              <w:top w:val="single" w:color="000000" w:sz="8" w:space="0"/>
              <w:bottom w:val="single" w:color="000000" w:sz="8" w:space="0"/>
              <w:right w:val="single" w:color="000000" w:sz="8" w:space="0"/>
            </w:tcBorders>
          </w:tcPr>
          <w:p>
            <w:pPr>
              <w:pStyle w:val="45"/>
              <w:spacing w:before="11"/>
              <w:rPr>
                <w:b/>
                <w:color w:val="auto"/>
                <w:sz w:val="25"/>
              </w:rPr>
            </w:pPr>
          </w:p>
          <w:p>
            <w:pPr>
              <w:pStyle w:val="45"/>
              <w:ind w:left="743"/>
              <w:rPr>
                <w:color w:val="auto"/>
                <w:sz w:val="21"/>
              </w:rPr>
            </w:pPr>
            <w:r>
              <w:rPr>
                <w:color w:val="auto"/>
                <w:sz w:val="21"/>
              </w:rPr>
              <w:t xml:space="preserve">2.2.1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137" w:line="244" w:lineRule="auto"/>
              <w:ind w:left="435" w:right="296" w:firstLine="156"/>
              <w:rPr>
                <w:color w:val="auto"/>
                <w:sz w:val="21"/>
              </w:rPr>
            </w:pPr>
            <w:r>
              <w:rPr>
                <w:color w:val="auto"/>
                <w:spacing w:val="-2"/>
                <w:sz w:val="21"/>
              </w:rPr>
              <w:t xml:space="preserve">分值构成  </w:t>
            </w:r>
            <w:r>
              <w:rPr>
                <w:color w:val="auto"/>
                <w:sz w:val="21"/>
              </w:rPr>
              <w:t>(总分100</w:t>
            </w:r>
            <w:r>
              <w:rPr>
                <w:color w:val="auto"/>
                <w:spacing w:val="-3"/>
                <w:sz w:val="21"/>
              </w:rPr>
              <w:t>分)</w:t>
            </w:r>
            <w:r>
              <w:rPr>
                <w:color w:val="auto"/>
                <w:sz w:val="21"/>
              </w:rPr>
              <w:t xml:space="preserve"> </w:t>
            </w:r>
          </w:p>
        </w:tc>
        <w:tc>
          <w:tcPr>
            <w:tcW w:w="5187" w:type="dxa"/>
            <w:tcBorders>
              <w:top w:val="single" w:color="000000" w:sz="8" w:space="0"/>
              <w:left w:val="single" w:color="000000" w:sz="8" w:space="0"/>
              <w:bottom w:val="single" w:color="000000" w:sz="8" w:space="0"/>
            </w:tcBorders>
          </w:tcPr>
          <w:p>
            <w:pPr>
              <w:pStyle w:val="45"/>
              <w:spacing w:before="3" w:line="242" w:lineRule="auto"/>
              <w:ind w:left="113" w:right="1148"/>
              <w:rPr>
                <w:color w:val="auto"/>
                <w:sz w:val="21"/>
              </w:rPr>
            </w:pPr>
            <w:r>
              <w:rPr>
                <w:color w:val="auto"/>
                <w:spacing w:val="-3"/>
                <w:sz w:val="21"/>
              </w:rPr>
              <w:t xml:space="preserve">承包人建议书和承包人实施方案：  </w:t>
            </w:r>
            <w:r>
              <w:rPr>
                <w:rFonts w:hint="eastAsia"/>
                <w:color w:val="auto"/>
                <w:sz w:val="21"/>
                <w:u w:val="single"/>
                <w:lang w:val="en-US" w:eastAsia="zh-CN"/>
              </w:rPr>
              <w:t>70</w:t>
            </w:r>
            <w:r>
              <w:rPr>
                <w:color w:val="auto"/>
                <w:sz w:val="21"/>
                <w:u w:val="single"/>
              </w:rPr>
              <w:t>%</w:t>
            </w:r>
            <w:r>
              <w:rPr>
                <w:color w:val="auto"/>
                <w:sz w:val="21"/>
              </w:rPr>
              <w:t xml:space="preserve"> </w:t>
            </w:r>
            <w:r>
              <w:rPr>
                <w:color w:val="auto"/>
                <w:spacing w:val="-2"/>
                <w:sz w:val="21"/>
              </w:rPr>
              <w:t xml:space="preserve">资 信 业 绩 部 分 ：           </w:t>
            </w:r>
            <w:r>
              <w:rPr>
                <w:rFonts w:hint="eastAsia"/>
                <w:color w:val="auto"/>
                <w:spacing w:val="-2"/>
                <w:sz w:val="21"/>
                <w:lang w:val="en-US" w:eastAsia="zh-CN"/>
              </w:rPr>
              <w:t xml:space="preserve"> </w:t>
            </w:r>
            <w:r>
              <w:rPr>
                <w:rFonts w:hint="eastAsia"/>
                <w:color w:val="auto"/>
                <w:sz w:val="21"/>
                <w:u w:val="single"/>
                <w:lang w:val="en-US" w:eastAsia="zh-CN"/>
              </w:rPr>
              <w:t>15</w:t>
            </w:r>
            <w:r>
              <w:rPr>
                <w:color w:val="auto"/>
                <w:sz w:val="21"/>
              </w:rPr>
              <w:t xml:space="preserve">% </w:t>
            </w:r>
          </w:p>
          <w:p>
            <w:pPr>
              <w:pStyle w:val="45"/>
              <w:spacing w:before="1" w:line="250" w:lineRule="exact"/>
              <w:ind w:left="113"/>
              <w:rPr>
                <w:b/>
                <w:color w:val="auto"/>
                <w:sz w:val="21"/>
              </w:rPr>
            </w:pPr>
            <w:r>
              <w:rPr>
                <w:color w:val="auto"/>
                <w:spacing w:val="-1"/>
                <w:sz w:val="21"/>
              </w:rPr>
              <w:t xml:space="preserve">投 标 报 价 ：                  </w:t>
            </w:r>
            <w:r>
              <w:rPr>
                <w:rFonts w:hint="eastAsia"/>
                <w:color w:val="auto"/>
                <w:sz w:val="21"/>
                <w:u w:val="single"/>
                <w:lang w:val="en-US" w:eastAsia="zh-CN"/>
              </w:rPr>
              <w:t>15</w:t>
            </w:r>
            <w:r>
              <w:rPr>
                <w:color w:val="auto"/>
                <w:sz w:val="21"/>
              </w:rPr>
              <w:t>%</w:t>
            </w:r>
            <w:r>
              <w:rPr>
                <w:b/>
                <w:color w:val="auto"/>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5" w:hRule="atLeast"/>
        </w:trPr>
        <w:tc>
          <w:tcPr>
            <w:tcW w:w="2015" w:type="dxa"/>
            <w:tcBorders>
              <w:top w:val="single" w:color="000000" w:sz="8" w:space="0"/>
              <w:bottom w:val="single" w:color="000000" w:sz="8" w:space="0"/>
              <w:right w:val="single" w:color="000000" w:sz="8" w:space="0"/>
            </w:tcBorders>
          </w:tcPr>
          <w:p>
            <w:pPr>
              <w:pStyle w:val="45"/>
              <w:spacing w:before="4"/>
              <w:rPr>
                <w:b/>
                <w:color w:val="auto"/>
                <w:sz w:val="28"/>
              </w:rPr>
            </w:pPr>
          </w:p>
          <w:p>
            <w:pPr>
              <w:pStyle w:val="45"/>
              <w:ind w:left="743"/>
              <w:rPr>
                <w:color w:val="auto"/>
                <w:sz w:val="21"/>
              </w:rPr>
            </w:pPr>
            <w:r>
              <w:rPr>
                <w:color w:val="auto"/>
                <w:sz w:val="21"/>
              </w:rPr>
              <w:t xml:space="preserve">2.2.2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142"/>
              <w:ind w:left="203" w:right="70"/>
              <w:jc w:val="center"/>
              <w:rPr>
                <w:color w:val="auto"/>
                <w:sz w:val="21"/>
              </w:rPr>
            </w:pPr>
            <w:r>
              <w:rPr>
                <w:color w:val="auto"/>
                <w:sz w:val="21"/>
              </w:rPr>
              <w:t xml:space="preserve">评标基准价 </w:t>
            </w:r>
          </w:p>
          <w:p>
            <w:pPr>
              <w:pStyle w:val="45"/>
              <w:spacing w:before="173"/>
              <w:ind w:left="203" w:right="70"/>
              <w:jc w:val="center"/>
              <w:rPr>
                <w:color w:val="auto"/>
                <w:sz w:val="21"/>
              </w:rPr>
            </w:pPr>
            <w:r>
              <w:rPr>
                <w:color w:val="auto"/>
                <w:sz w:val="21"/>
              </w:rPr>
              <w:t xml:space="preserve">计算方法 </w:t>
            </w:r>
          </w:p>
        </w:tc>
        <w:tc>
          <w:tcPr>
            <w:tcW w:w="5187" w:type="dxa"/>
            <w:tcBorders>
              <w:top w:val="single" w:color="000000" w:sz="8" w:space="0"/>
              <w:left w:val="single" w:color="000000" w:sz="8" w:space="0"/>
              <w:bottom w:val="single" w:color="000000" w:sz="8" w:space="0"/>
            </w:tcBorders>
          </w:tcPr>
          <w:p>
            <w:pPr>
              <w:pStyle w:val="45"/>
              <w:spacing w:before="34"/>
              <w:ind w:left="113"/>
              <w:rPr>
                <w:color w:val="auto"/>
                <w:sz w:val="21"/>
                <w:lang w:val="en-US"/>
              </w:rPr>
            </w:pPr>
            <w:r>
              <w:rPr>
                <w:color w:val="auto"/>
                <w:sz w:val="21"/>
                <w:lang w:val="en-US"/>
              </w:rPr>
              <w:t xml:space="preserve">   </w:t>
            </w:r>
            <w:r>
              <w:rPr>
                <w:color w:val="auto"/>
                <w:sz w:val="21"/>
              </w:rPr>
              <w:t>基准价</w:t>
            </w:r>
            <w:r>
              <w:rPr>
                <w:color w:val="auto"/>
                <w:sz w:val="21"/>
                <w:lang w:val="en-US"/>
              </w:rPr>
              <w:t xml:space="preserve">= （A1+A2+……＋An）/N </w:t>
            </w:r>
          </w:p>
          <w:p>
            <w:pPr>
              <w:pStyle w:val="45"/>
              <w:spacing w:before="2" w:line="242" w:lineRule="auto"/>
              <w:ind w:left="113" w:right="100"/>
              <w:rPr>
                <w:b/>
                <w:color w:val="auto"/>
                <w:sz w:val="21"/>
              </w:rPr>
            </w:pPr>
            <w:r>
              <w:rPr>
                <w:color w:val="auto"/>
                <w:sz w:val="21"/>
              </w:rPr>
              <w:t>A1、A2、……、An为进入基准价计算的最终投标价; N 为进入基准价计算的最终投标价的个数。</w:t>
            </w:r>
            <w:r>
              <w:rPr>
                <w:b/>
                <w:color w:val="auto"/>
                <w:w w:val="9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6" w:hRule="atLeast"/>
        </w:trPr>
        <w:tc>
          <w:tcPr>
            <w:tcW w:w="2015" w:type="dxa"/>
            <w:tcBorders>
              <w:top w:val="single" w:color="000000" w:sz="8" w:space="0"/>
              <w:bottom w:val="single" w:color="000000" w:sz="8" w:space="0"/>
              <w:right w:val="single" w:color="000000" w:sz="8" w:space="0"/>
            </w:tcBorders>
          </w:tcPr>
          <w:p>
            <w:pPr>
              <w:pStyle w:val="45"/>
              <w:spacing w:before="6"/>
              <w:rPr>
                <w:b/>
                <w:color w:val="auto"/>
                <w:sz w:val="17"/>
              </w:rPr>
            </w:pPr>
          </w:p>
          <w:p>
            <w:pPr>
              <w:pStyle w:val="45"/>
              <w:ind w:left="743"/>
              <w:rPr>
                <w:color w:val="auto"/>
                <w:sz w:val="21"/>
              </w:rPr>
            </w:pPr>
            <w:r>
              <w:rPr>
                <w:color w:val="auto"/>
                <w:sz w:val="21"/>
              </w:rPr>
              <w:t xml:space="preserve">2.2.3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32" w:line="242" w:lineRule="auto"/>
              <w:ind w:left="591" w:right="35" w:hanging="421"/>
              <w:rPr>
                <w:color w:val="auto"/>
                <w:sz w:val="21"/>
              </w:rPr>
            </w:pPr>
            <w:r>
              <w:rPr>
                <w:color w:val="auto"/>
                <w:sz w:val="21"/>
              </w:rPr>
              <w:t xml:space="preserve">投标报价的偏差率计算公式 </w:t>
            </w:r>
          </w:p>
        </w:tc>
        <w:tc>
          <w:tcPr>
            <w:tcW w:w="5187" w:type="dxa"/>
            <w:tcBorders>
              <w:top w:val="single" w:color="000000" w:sz="8" w:space="0"/>
              <w:left w:val="single" w:color="000000" w:sz="8" w:space="0"/>
              <w:bottom w:val="single" w:color="000000" w:sz="8" w:space="0"/>
            </w:tcBorders>
          </w:tcPr>
          <w:p>
            <w:pPr>
              <w:pStyle w:val="45"/>
              <w:spacing w:before="32" w:line="242" w:lineRule="auto"/>
              <w:ind w:left="113" w:right="203"/>
              <w:rPr>
                <w:color w:val="auto"/>
                <w:sz w:val="21"/>
              </w:rPr>
            </w:pPr>
            <w:r>
              <w:rPr>
                <w:color w:val="auto"/>
                <w:sz w:val="21"/>
              </w:rPr>
              <w:t xml:space="preserve">偏差率=100%×|（投标人评标价－评标基准价）|/评标基准价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1" w:hRule="atLeast"/>
        </w:trPr>
        <w:tc>
          <w:tcPr>
            <w:tcW w:w="2015" w:type="dxa"/>
            <w:tcBorders>
              <w:top w:val="single" w:color="000000" w:sz="8" w:space="0"/>
              <w:bottom w:val="single" w:color="000000" w:sz="8" w:space="0"/>
              <w:right w:val="single" w:color="000000" w:sz="8" w:space="0"/>
            </w:tcBorders>
          </w:tcPr>
          <w:p>
            <w:pPr>
              <w:pStyle w:val="45"/>
              <w:spacing w:before="12"/>
              <w:rPr>
                <w:b/>
                <w:color w:val="auto"/>
                <w:sz w:val="16"/>
              </w:rPr>
            </w:pPr>
          </w:p>
          <w:p>
            <w:pPr>
              <w:pStyle w:val="45"/>
              <w:ind w:left="688"/>
              <w:rPr>
                <w:color w:val="auto"/>
                <w:sz w:val="21"/>
              </w:rPr>
            </w:pPr>
            <w:r>
              <w:rPr>
                <w:b/>
                <w:color w:val="auto"/>
                <w:sz w:val="21"/>
              </w:rPr>
              <w:t>条款号</w:t>
            </w:r>
            <w:r>
              <w:rPr>
                <w:color w:val="auto"/>
                <w:sz w:val="21"/>
              </w:rPr>
              <w:t xml:space="preserve">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12"/>
              <w:rPr>
                <w:b/>
                <w:color w:val="auto"/>
                <w:sz w:val="16"/>
              </w:rPr>
            </w:pPr>
          </w:p>
          <w:p>
            <w:pPr>
              <w:pStyle w:val="45"/>
              <w:ind w:left="203" w:right="67"/>
              <w:jc w:val="center"/>
              <w:rPr>
                <w:b/>
                <w:color w:val="auto"/>
                <w:sz w:val="21"/>
              </w:rPr>
            </w:pPr>
            <w:r>
              <w:rPr>
                <w:b/>
                <w:color w:val="auto"/>
                <w:sz w:val="21"/>
              </w:rPr>
              <w:t>评分因素</w:t>
            </w:r>
            <w:r>
              <w:rPr>
                <w:b/>
                <w:color w:val="auto"/>
                <w:w w:val="99"/>
                <w:sz w:val="21"/>
              </w:rPr>
              <w:t xml:space="preserve"> </w:t>
            </w:r>
          </w:p>
        </w:tc>
        <w:tc>
          <w:tcPr>
            <w:tcW w:w="5187" w:type="dxa"/>
            <w:tcBorders>
              <w:top w:val="single" w:color="000000" w:sz="8" w:space="0"/>
              <w:left w:val="single" w:color="000000" w:sz="8" w:space="0"/>
              <w:bottom w:val="single" w:color="000000" w:sz="8" w:space="0"/>
            </w:tcBorders>
          </w:tcPr>
          <w:p>
            <w:pPr>
              <w:pStyle w:val="45"/>
              <w:spacing w:before="12"/>
              <w:rPr>
                <w:b/>
                <w:color w:val="auto"/>
                <w:sz w:val="16"/>
              </w:rPr>
            </w:pPr>
          </w:p>
          <w:p>
            <w:pPr>
              <w:pStyle w:val="45"/>
              <w:ind w:left="2205" w:right="2064"/>
              <w:jc w:val="center"/>
              <w:rPr>
                <w:color w:val="auto"/>
                <w:sz w:val="21"/>
              </w:rPr>
            </w:pPr>
            <w:r>
              <w:rPr>
                <w:b/>
                <w:color w:val="auto"/>
                <w:sz w:val="21"/>
              </w:rPr>
              <w:t>评分标准</w:t>
            </w: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4" w:hRule="atLeast"/>
        </w:trPr>
        <w:tc>
          <w:tcPr>
            <w:tcW w:w="2015" w:type="dxa"/>
            <w:tcBorders>
              <w:top w:val="single" w:color="000000" w:sz="8" w:space="0"/>
              <w:bottom w:val="single" w:color="000000" w:sz="8" w:space="0"/>
              <w:right w:val="single" w:color="000000" w:sz="8" w:space="0"/>
            </w:tcBorders>
          </w:tcPr>
          <w:p>
            <w:pPr>
              <w:pStyle w:val="45"/>
              <w:spacing w:before="161"/>
              <w:ind w:left="479"/>
              <w:rPr>
                <w:b/>
                <w:color w:val="auto"/>
                <w:sz w:val="21"/>
              </w:rPr>
            </w:pPr>
            <w:r>
              <w:rPr>
                <w:color w:val="auto"/>
                <w:sz w:val="21"/>
              </w:rPr>
              <w:t>2.2.4（1）</w:t>
            </w:r>
            <w:r>
              <w:rPr>
                <w:b/>
                <w:color w:val="auto"/>
                <w:w w:val="99"/>
                <w:sz w:val="21"/>
              </w:rPr>
              <w:t xml:space="preserve">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24" w:line="242" w:lineRule="auto"/>
              <w:ind w:left="591" w:right="244" w:hanging="209"/>
              <w:rPr>
                <w:b/>
                <w:color w:val="auto"/>
                <w:sz w:val="21"/>
              </w:rPr>
            </w:pPr>
            <w:r>
              <w:rPr>
                <w:color w:val="auto"/>
                <w:sz w:val="21"/>
              </w:rPr>
              <w:t>承包人建议书评分标准</w:t>
            </w:r>
            <w:r>
              <w:rPr>
                <w:b/>
                <w:color w:val="auto"/>
                <w:w w:val="99"/>
                <w:sz w:val="21"/>
              </w:rPr>
              <w:t xml:space="preserve"> </w:t>
            </w:r>
          </w:p>
        </w:tc>
        <w:tc>
          <w:tcPr>
            <w:tcW w:w="5187" w:type="dxa"/>
            <w:tcBorders>
              <w:top w:val="single" w:color="000000" w:sz="8" w:space="0"/>
              <w:left w:val="single" w:color="000000" w:sz="8" w:space="0"/>
              <w:bottom w:val="single" w:color="000000" w:sz="8" w:space="0"/>
            </w:tcBorders>
          </w:tcPr>
          <w:p>
            <w:pPr>
              <w:pStyle w:val="45"/>
              <w:spacing w:before="161"/>
              <w:ind w:left="113"/>
              <w:rPr>
                <w:color w:val="auto"/>
                <w:sz w:val="21"/>
              </w:rPr>
            </w:pPr>
            <w:r>
              <w:rPr>
                <w:color w:val="auto"/>
                <w:sz w:val="21"/>
              </w:rPr>
              <w:t xml:space="preserve">详见本章评分附表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4" w:hRule="atLeast"/>
        </w:trPr>
        <w:tc>
          <w:tcPr>
            <w:tcW w:w="2015" w:type="dxa"/>
            <w:tcBorders>
              <w:top w:val="single" w:color="000000" w:sz="8" w:space="0"/>
              <w:bottom w:val="single" w:color="000000" w:sz="8" w:space="0"/>
              <w:right w:val="single" w:color="000000" w:sz="8" w:space="0"/>
            </w:tcBorders>
          </w:tcPr>
          <w:p>
            <w:pPr>
              <w:pStyle w:val="45"/>
              <w:spacing w:before="159"/>
              <w:ind w:left="479"/>
              <w:rPr>
                <w:b/>
                <w:color w:val="auto"/>
                <w:sz w:val="21"/>
              </w:rPr>
            </w:pPr>
            <w:r>
              <w:rPr>
                <w:color w:val="auto"/>
                <w:sz w:val="21"/>
              </w:rPr>
              <w:t>2.2.4（2）</w:t>
            </w:r>
            <w:r>
              <w:rPr>
                <w:b/>
                <w:color w:val="auto"/>
                <w:w w:val="99"/>
                <w:sz w:val="21"/>
              </w:rPr>
              <w:t xml:space="preserve">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24" w:line="242" w:lineRule="auto"/>
              <w:ind w:left="591" w:right="138" w:hanging="315"/>
              <w:rPr>
                <w:b/>
                <w:color w:val="auto"/>
                <w:sz w:val="21"/>
              </w:rPr>
            </w:pPr>
            <w:r>
              <w:rPr>
                <w:color w:val="auto"/>
                <w:sz w:val="21"/>
              </w:rPr>
              <w:t>承包人实施方案评分标准</w:t>
            </w:r>
            <w:r>
              <w:rPr>
                <w:b/>
                <w:color w:val="auto"/>
                <w:w w:val="99"/>
                <w:sz w:val="21"/>
              </w:rPr>
              <w:t xml:space="preserve"> </w:t>
            </w:r>
          </w:p>
        </w:tc>
        <w:tc>
          <w:tcPr>
            <w:tcW w:w="5187" w:type="dxa"/>
            <w:tcBorders>
              <w:top w:val="single" w:color="000000" w:sz="8" w:space="0"/>
              <w:left w:val="single" w:color="000000" w:sz="8" w:space="0"/>
              <w:bottom w:val="single" w:color="000000" w:sz="8" w:space="0"/>
            </w:tcBorders>
          </w:tcPr>
          <w:p>
            <w:pPr>
              <w:pStyle w:val="45"/>
              <w:spacing w:before="159"/>
              <w:ind w:left="113"/>
              <w:rPr>
                <w:color w:val="auto"/>
                <w:sz w:val="21"/>
              </w:rPr>
            </w:pPr>
            <w:r>
              <w:rPr>
                <w:color w:val="auto"/>
                <w:sz w:val="21"/>
              </w:rPr>
              <w:t xml:space="preserve">详见本章评分附表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4" w:hRule="atLeast"/>
        </w:trPr>
        <w:tc>
          <w:tcPr>
            <w:tcW w:w="2015" w:type="dxa"/>
            <w:tcBorders>
              <w:top w:val="single" w:color="000000" w:sz="8" w:space="0"/>
              <w:bottom w:val="single" w:color="000000" w:sz="8" w:space="0"/>
              <w:right w:val="single" w:color="000000" w:sz="8" w:space="0"/>
            </w:tcBorders>
          </w:tcPr>
          <w:p>
            <w:pPr>
              <w:pStyle w:val="45"/>
              <w:spacing w:before="159"/>
              <w:ind w:left="479"/>
              <w:rPr>
                <w:b/>
                <w:color w:val="auto"/>
                <w:sz w:val="21"/>
              </w:rPr>
            </w:pPr>
            <w:r>
              <w:rPr>
                <w:color w:val="auto"/>
                <w:sz w:val="21"/>
              </w:rPr>
              <w:t>2.2.4（3）</w:t>
            </w:r>
            <w:r>
              <w:rPr>
                <w:b/>
                <w:color w:val="auto"/>
                <w:w w:val="99"/>
                <w:sz w:val="21"/>
              </w:rPr>
              <w:t xml:space="preserve"> </w:t>
            </w:r>
          </w:p>
        </w:tc>
        <w:tc>
          <w:tcPr>
            <w:tcW w:w="2016" w:type="dxa"/>
            <w:tcBorders>
              <w:top w:val="single" w:color="000000" w:sz="8" w:space="0"/>
              <w:left w:val="single" w:color="000000" w:sz="8" w:space="0"/>
              <w:bottom w:val="single" w:color="000000" w:sz="8" w:space="0"/>
              <w:right w:val="single" w:color="000000" w:sz="8" w:space="0"/>
            </w:tcBorders>
          </w:tcPr>
          <w:p>
            <w:pPr>
              <w:pStyle w:val="45"/>
              <w:spacing w:before="159"/>
              <w:ind w:left="203" w:right="70"/>
              <w:jc w:val="center"/>
              <w:rPr>
                <w:b/>
                <w:color w:val="auto"/>
                <w:sz w:val="21"/>
              </w:rPr>
            </w:pPr>
            <w:r>
              <w:rPr>
                <w:color w:val="auto"/>
                <w:sz w:val="21"/>
              </w:rPr>
              <w:t>资信业绩评分标准</w:t>
            </w:r>
            <w:r>
              <w:rPr>
                <w:b/>
                <w:color w:val="auto"/>
                <w:w w:val="99"/>
                <w:sz w:val="21"/>
              </w:rPr>
              <w:t xml:space="preserve"> </w:t>
            </w:r>
          </w:p>
        </w:tc>
        <w:tc>
          <w:tcPr>
            <w:tcW w:w="5187" w:type="dxa"/>
            <w:tcBorders>
              <w:top w:val="single" w:color="000000" w:sz="8" w:space="0"/>
              <w:left w:val="single" w:color="000000" w:sz="8" w:space="0"/>
              <w:bottom w:val="single" w:color="000000" w:sz="8" w:space="0"/>
            </w:tcBorders>
          </w:tcPr>
          <w:p>
            <w:pPr>
              <w:pStyle w:val="45"/>
              <w:spacing w:before="159"/>
              <w:ind w:left="113"/>
              <w:rPr>
                <w:color w:val="auto"/>
                <w:sz w:val="21"/>
              </w:rPr>
            </w:pPr>
            <w:r>
              <w:rPr>
                <w:color w:val="auto"/>
                <w:sz w:val="21"/>
              </w:rPr>
              <w:t xml:space="preserve">详见本章评分附表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6" w:hRule="atLeast"/>
        </w:trPr>
        <w:tc>
          <w:tcPr>
            <w:tcW w:w="2015" w:type="dxa"/>
            <w:tcBorders>
              <w:top w:val="single" w:color="000000" w:sz="8" w:space="0"/>
              <w:right w:val="single" w:color="000000" w:sz="8" w:space="0"/>
            </w:tcBorders>
          </w:tcPr>
          <w:p>
            <w:pPr>
              <w:pStyle w:val="45"/>
              <w:spacing w:before="10"/>
              <w:rPr>
                <w:b/>
                <w:color w:val="auto"/>
                <w:sz w:val="21"/>
              </w:rPr>
            </w:pPr>
          </w:p>
          <w:p>
            <w:pPr>
              <w:pStyle w:val="45"/>
              <w:ind w:left="479"/>
              <w:rPr>
                <w:color w:val="auto"/>
                <w:sz w:val="21"/>
              </w:rPr>
            </w:pPr>
            <w:r>
              <w:rPr>
                <w:color w:val="auto"/>
                <w:sz w:val="21"/>
              </w:rPr>
              <w:t xml:space="preserve">2.2.4（4） </w:t>
            </w:r>
          </w:p>
        </w:tc>
        <w:tc>
          <w:tcPr>
            <w:tcW w:w="2016" w:type="dxa"/>
            <w:tcBorders>
              <w:top w:val="single" w:color="000000" w:sz="8" w:space="0"/>
              <w:left w:val="single" w:color="000000" w:sz="8" w:space="0"/>
              <w:right w:val="single" w:color="000000" w:sz="8" w:space="0"/>
            </w:tcBorders>
          </w:tcPr>
          <w:p>
            <w:pPr>
              <w:pStyle w:val="45"/>
              <w:spacing w:before="10"/>
              <w:rPr>
                <w:b/>
                <w:color w:val="auto"/>
                <w:sz w:val="21"/>
              </w:rPr>
            </w:pPr>
          </w:p>
          <w:p>
            <w:pPr>
              <w:pStyle w:val="45"/>
              <w:ind w:left="203" w:right="70"/>
              <w:jc w:val="center"/>
              <w:rPr>
                <w:color w:val="auto"/>
                <w:sz w:val="21"/>
              </w:rPr>
            </w:pPr>
            <w:r>
              <w:rPr>
                <w:color w:val="auto"/>
                <w:sz w:val="21"/>
              </w:rPr>
              <w:t xml:space="preserve">投标报价评分标准 </w:t>
            </w:r>
          </w:p>
        </w:tc>
        <w:tc>
          <w:tcPr>
            <w:tcW w:w="5187" w:type="dxa"/>
            <w:tcBorders>
              <w:top w:val="single" w:color="000000" w:sz="8" w:space="0"/>
              <w:left w:val="single" w:color="000000" w:sz="8" w:space="0"/>
            </w:tcBorders>
          </w:tcPr>
          <w:p>
            <w:pPr>
              <w:pStyle w:val="45"/>
              <w:spacing w:before="8" w:line="242" w:lineRule="auto"/>
              <w:ind w:left="113" w:right="308"/>
              <w:rPr>
                <w:color w:val="auto"/>
                <w:sz w:val="21"/>
              </w:rPr>
            </w:pPr>
            <w:r>
              <w:rPr>
                <w:color w:val="auto"/>
                <w:sz w:val="21"/>
              </w:rPr>
              <w:t xml:space="preserve">偏差率大于0：偏差率从0开始每递升1％减1.5分。偏差率等于0：报价分为100分； </w:t>
            </w:r>
          </w:p>
          <w:p>
            <w:pPr>
              <w:pStyle w:val="45"/>
              <w:spacing w:before="1" w:line="254" w:lineRule="exact"/>
              <w:ind w:left="113"/>
              <w:rPr>
                <w:color w:val="auto"/>
                <w:sz w:val="21"/>
              </w:rPr>
            </w:pPr>
            <w:r>
              <w:rPr>
                <w:color w:val="auto"/>
                <w:sz w:val="21"/>
              </w:rPr>
              <w:t xml:space="preserve">偏差率小于0：偏差率从 0 开始每降 1％减1分。 </w:t>
            </w:r>
          </w:p>
        </w:tc>
      </w:tr>
    </w:tbl>
    <w:p>
      <w:pPr>
        <w:rPr>
          <w:rFonts w:ascii="Times New Roman" w:eastAsia="Times New Roman"/>
          <w:color w:val="auto"/>
          <w:sz w:val="19"/>
        </w:rPr>
        <w:sectPr>
          <w:pgSz w:w="11900" w:h="16840"/>
          <w:pgMar w:top="1580" w:right="960" w:bottom="1180" w:left="960" w:header="0" w:footer="995" w:gutter="0"/>
          <w:cols w:space="720" w:num="1"/>
        </w:sectPr>
      </w:pPr>
    </w:p>
    <w:p>
      <w:pPr>
        <w:pStyle w:val="44"/>
        <w:numPr>
          <w:ilvl w:val="0"/>
          <w:numId w:val="12"/>
        </w:numPr>
        <w:tabs>
          <w:tab w:val="left" w:pos="987"/>
        </w:tabs>
        <w:ind w:hanging="245"/>
        <w:rPr>
          <w:b/>
          <w:color w:val="auto"/>
          <w:sz w:val="24"/>
        </w:rPr>
      </w:pPr>
      <w:bookmarkStart w:id="80" w:name="1._评标方法"/>
      <w:bookmarkEnd w:id="80"/>
      <w:r>
        <w:rPr>
          <w:b/>
          <w:color w:val="auto"/>
          <w:sz w:val="24"/>
        </w:rPr>
        <w:t>评标方法</w:t>
      </w:r>
      <w:r>
        <w:rPr>
          <w:b/>
          <w:color w:val="auto"/>
          <w:w w:val="99"/>
          <w:sz w:val="24"/>
        </w:rPr>
        <w:t xml:space="preserve"> </w:t>
      </w:r>
    </w:p>
    <w:p>
      <w:pPr>
        <w:spacing w:before="64"/>
        <w:ind w:left="411"/>
        <w:rPr>
          <w:color w:val="auto"/>
          <w:sz w:val="30"/>
        </w:rPr>
      </w:pPr>
      <w:r>
        <w:rPr>
          <w:color w:val="auto"/>
        </w:rPr>
        <w:br w:type="column"/>
      </w:r>
      <w:r>
        <w:rPr>
          <w:color w:val="auto"/>
          <w:sz w:val="30"/>
        </w:rPr>
        <w:t xml:space="preserve">评标办法（综合评估法）正文部分 </w:t>
      </w:r>
    </w:p>
    <w:p>
      <w:pPr>
        <w:rPr>
          <w:color w:val="auto"/>
          <w:sz w:val="30"/>
        </w:rPr>
        <w:sectPr>
          <w:pgSz w:w="11900" w:h="16840"/>
          <w:pgMar w:top="1360" w:right="1020" w:bottom="1200" w:left="1180" w:header="109" w:footer="1002" w:gutter="0"/>
          <w:cols w:equalWidth="0" w:num="2">
            <w:col w:w="2068" w:space="40"/>
            <w:col w:w="7592"/>
          </w:cols>
        </w:sectPr>
      </w:pPr>
    </w:p>
    <w:p>
      <w:pPr>
        <w:pStyle w:val="8"/>
        <w:spacing w:before="164" w:line="393" w:lineRule="auto"/>
        <w:ind w:left="260" w:right="608" w:firstLine="420"/>
        <w:jc w:val="both"/>
        <w:rPr>
          <w:color w:val="auto"/>
        </w:rPr>
      </w:pPr>
      <w:r>
        <w:rPr>
          <w:color w:val="auto"/>
        </w:rPr>
        <w:t xml:space="preserve">本次评标方法采用综合评估法。评标委员会对满足招标文件实质性要求的投标文件，按照本章第2.2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 </w:t>
      </w:r>
    </w:p>
    <w:p>
      <w:pPr>
        <w:pStyle w:val="44"/>
        <w:numPr>
          <w:ilvl w:val="0"/>
          <w:numId w:val="12"/>
        </w:numPr>
        <w:tabs>
          <w:tab w:val="left" w:pos="987"/>
        </w:tabs>
        <w:spacing w:line="272" w:lineRule="exact"/>
        <w:ind w:hanging="245"/>
        <w:rPr>
          <w:b/>
          <w:color w:val="auto"/>
          <w:sz w:val="24"/>
        </w:rPr>
      </w:pPr>
      <w:r>
        <w:rPr>
          <w:b/>
          <w:color w:val="auto"/>
          <w:sz w:val="24"/>
        </w:rPr>
        <w:t>评审标准</w:t>
      </w:r>
      <w:r>
        <w:rPr>
          <w:b/>
          <w:color w:val="auto"/>
          <w:w w:val="99"/>
          <w:sz w:val="24"/>
        </w:rPr>
        <w:t xml:space="preserve"> </w:t>
      </w:r>
    </w:p>
    <w:p>
      <w:pPr>
        <w:pStyle w:val="44"/>
        <w:numPr>
          <w:ilvl w:val="1"/>
          <w:numId w:val="12"/>
        </w:numPr>
        <w:tabs>
          <w:tab w:val="left" w:pos="999"/>
        </w:tabs>
        <w:spacing w:before="162"/>
        <w:ind w:hanging="319"/>
        <w:rPr>
          <w:color w:val="auto"/>
          <w:sz w:val="21"/>
        </w:rPr>
      </w:pPr>
      <w:r>
        <w:rPr>
          <w:color w:val="auto"/>
          <w:spacing w:val="-3"/>
          <w:sz w:val="21"/>
        </w:rPr>
        <w:t>初步评审标准</w:t>
      </w:r>
      <w:r>
        <w:rPr>
          <w:color w:val="auto"/>
          <w:sz w:val="21"/>
        </w:rPr>
        <w:t xml:space="preserve"> </w:t>
      </w:r>
    </w:p>
    <w:p>
      <w:pPr>
        <w:pStyle w:val="44"/>
        <w:numPr>
          <w:ilvl w:val="2"/>
          <w:numId w:val="12"/>
        </w:numPr>
        <w:tabs>
          <w:tab w:val="left" w:pos="1210"/>
        </w:tabs>
        <w:spacing w:before="173"/>
        <w:ind w:hanging="530"/>
        <w:rPr>
          <w:color w:val="auto"/>
          <w:sz w:val="21"/>
        </w:rPr>
      </w:pPr>
      <w:r>
        <w:rPr>
          <w:color w:val="auto"/>
          <w:spacing w:val="-3"/>
          <w:sz w:val="21"/>
        </w:rPr>
        <w:t>形式评审标准：见评标办法前附表。</w:t>
      </w:r>
      <w:r>
        <w:rPr>
          <w:color w:val="auto"/>
          <w:sz w:val="21"/>
        </w:rPr>
        <w:t xml:space="preserve"> </w:t>
      </w:r>
    </w:p>
    <w:p>
      <w:pPr>
        <w:pStyle w:val="44"/>
        <w:numPr>
          <w:ilvl w:val="2"/>
          <w:numId w:val="12"/>
        </w:numPr>
        <w:tabs>
          <w:tab w:val="left" w:pos="1210"/>
        </w:tabs>
        <w:spacing w:before="170"/>
        <w:ind w:hanging="530"/>
        <w:rPr>
          <w:color w:val="auto"/>
          <w:sz w:val="21"/>
        </w:rPr>
      </w:pPr>
      <w:r>
        <w:rPr>
          <w:color w:val="auto"/>
          <w:spacing w:val="-3"/>
          <w:sz w:val="21"/>
        </w:rPr>
        <w:t>复印件查验标准：见评标办法前附表（适用于开标后资格审查）</w:t>
      </w:r>
      <w:r>
        <w:rPr>
          <w:color w:val="auto"/>
          <w:sz w:val="21"/>
        </w:rPr>
        <w:t xml:space="preserve">。 </w:t>
      </w:r>
    </w:p>
    <w:p>
      <w:pPr>
        <w:pStyle w:val="44"/>
        <w:numPr>
          <w:ilvl w:val="2"/>
          <w:numId w:val="12"/>
        </w:numPr>
        <w:tabs>
          <w:tab w:val="left" w:pos="1210"/>
        </w:tabs>
        <w:spacing w:before="170"/>
        <w:ind w:hanging="530"/>
        <w:rPr>
          <w:color w:val="auto"/>
          <w:sz w:val="21"/>
        </w:rPr>
      </w:pPr>
      <w:r>
        <w:rPr>
          <w:color w:val="auto"/>
          <w:spacing w:val="-3"/>
          <w:sz w:val="21"/>
        </w:rPr>
        <w:t>资格评审标准：见评标办法前附表</w:t>
      </w:r>
      <w:r>
        <w:rPr>
          <w:color w:val="auto"/>
          <w:sz w:val="21"/>
        </w:rPr>
        <w:t>（</w:t>
      </w:r>
      <w:r>
        <w:rPr>
          <w:color w:val="auto"/>
          <w:spacing w:val="-3"/>
          <w:sz w:val="21"/>
        </w:rPr>
        <w:t>适用于开标后资格审查</w:t>
      </w:r>
      <w:r>
        <w:rPr>
          <w:color w:val="auto"/>
          <w:sz w:val="21"/>
        </w:rPr>
        <w:t xml:space="preserve">）。 </w:t>
      </w:r>
    </w:p>
    <w:p>
      <w:pPr>
        <w:pStyle w:val="44"/>
        <w:numPr>
          <w:ilvl w:val="2"/>
          <w:numId w:val="12"/>
        </w:numPr>
        <w:tabs>
          <w:tab w:val="left" w:pos="1210"/>
        </w:tabs>
        <w:spacing w:before="173"/>
        <w:ind w:hanging="530"/>
        <w:rPr>
          <w:color w:val="auto"/>
          <w:sz w:val="21"/>
        </w:rPr>
      </w:pPr>
      <w:r>
        <w:rPr>
          <w:color w:val="auto"/>
          <w:spacing w:val="-3"/>
          <w:sz w:val="21"/>
        </w:rPr>
        <w:t xml:space="preserve">响应性评审标准：见评标办法前附表。 </w:t>
      </w:r>
    </w:p>
    <w:p>
      <w:pPr>
        <w:pStyle w:val="44"/>
        <w:numPr>
          <w:ilvl w:val="2"/>
          <w:numId w:val="12"/>
        </w:numPr>
        <w:tabs>
          <w:tab w:val="left" w:pos="1210"/>
        </w:tabs>
        <w:spacing w:before="170"/>
        <w:ind w:hanging="530"/>
        <w:rPr>
          <w:color w:val="auto"/>
          <w:sz w:val="21"/>
        </w:rPr>
      </w:pPr>
      <w:r>
        <w:rPr>
          <w:color w:val="auto"/>
          <w:spacing w:val="-3"/>
          <w:sz w:val="21"/>
        </w:rPr>
        <w:t xml:space="preserve">承包人建议书和承包人实施方案评审标准：见评标办法前附表。 </w:t>
      </w:r>
    </w:p>
    <w:p>
      <w:pPr>
        <w:pStyle w:val="44"/>
        <w:numPr>
          <w:ilvl w:val="1"/>
          <w:numId w:val="12"/>
        </w:numPr>
        <w:tabs>
          <w:tab w:val="left" w:pos="999"/>
        </w:tabs>
        <w:spacing w:before="170"/>
        <w:ind w:hanging="319"/>
        <w:rPr>
          <w:color w:val="auto"/>
          <w:sz w:val="21"/>
        </w:rPr>
      </w:pPr>
      <w:r>
        <w:rPr>
          <w:color w:val="auto"/>
          <w:spacing w:val="-3"/>
          <w:sz w:val="21"/>
        </w:rPr>
        <w:t>分值构成与评分标准</w:t>
      </w:r>
      <w:r>
        <w:rPr>
          <w:color w:val="auto"/>
          <w:sz w:val="21"/>
        </w:rPr>
        <w:t xml:space="preserve"> </w:t>
      </w:r>
    </w:p>
    <w:p>
      <w:pPr>
        <w:pStyle w:val="44"/>
        <w:numPr>
          <w:ilvl w:val="2"/>
          <w:numId w:val="12"/>
        </w:numPr>
        <w:tabs>
          <w:tab w:val="left" w:pos="1210"/>
        </w:tabs>
        <w:spacing w:before="173"/>
        <w:ind w:hanging="530"/>
        <w:rPr>
          <w:color w:val="auto"/>
          <w:sz w:val="21"/>
        </w:rPr>
      </w:pPr>
      <w:r>
        <w:rPr>
          <w:color w:val="auto"/>
          <w:spacing w:val="-3"/>
          <w:sz w:val="21"/>
        </w:rPr>
        <w:t>分值构成</w:t>
      </w:r>
      <w:r>
        <w:rPr>
          <w:color w:val="auto"/>
          <w:sz w:val="21"/>
        </w:rPr>
        <w:t xml:space="preserve"> </w:t>
      </w:r>
    </w:p>
    <w:p>
      <w:pPr>
        <w:pStyle w:val="8"/>
        <w:spacing w:before="170"/>
        <w:ind w:left="680"/>
        <w:rPr>
          <w:color w:val="auto"/>
        </w:rPr>
      </w:pPr>
      <w:r>
        <w:rPr>
          <w:color w:val="auto"/>
        </w:rPr>
        <w:t xml:space="preserve">（l）承包人建议书和承包人实施方案：见评标办法前附表； </w:t>
      </w:r>
    </w:p>
    <w:p>
      <w:pPr>
        <w:pStyle w:val="44"/>
        <w:numPr>
          <w:ilvl w:val="0"/>
          <w:numId w:val="13"/>
        </w:numPr>
        <w:tabs>
          <w:tab w:val="left" w:pos="1210"/>
        </w:tabs>
        <w:spacing w:before="170"/>
        <w:ind w:hanging="530"/>
        <w:rPr>
          <w:color w:val="auto"/>
          <w:sz w:val="21"/>
        </w:rPr>
      </w:pPr>
      <w:r>
        <w:rPr>
          <w:color w:val="auto"/>
          <w:spacing w:val="-3"/>
          <w:sz w:val="21"/>
        </w:rPr>
        <w:t>资信业绩评分：见评标办法前附表；</w:t>
      </w:r>
      <w:r>
        <w:rPr>
          <w:color w:val="auto"/>
          <w:sz w:val="21"/>
        </w:rPr>
        <w:t xml:space="preserve"> </w:t>
      </w:r>
    </w:p>
    <w:p>
      <w:pPr>
        <w:pStyle w:val="44"/>
        <w:numPr>
          <w:ilvl w:val="0"/>
          <w:numId w:val="13"/>
        </w:numPr>
        <w:tabs>
          <w:tab w:val="left" w:pos="1210"/>
        </w:tabs>
        <w:spacing w:before="173" w:line="391" w:lineRule="auto"/>
        <w:ind w:left="680" w:right="5445" w:firstLine="0"/>
        <w:rPr>
          <w:color w:val="auto"/>
          <w:sz w:val="21"/>
        </w:rPr>
      </w:pPr>
      <w:r>
        <w:rPr>
          <w:color w:val="auto"/>
          <w:spacing w:val="-3"/>
          <w:sz w:val="21"/>
        </w:rPr>
        <w:t>投标报价：见评标办法前附表。</w:t>
      </w:r>
      <w:r>
        <w:rPr>
          <w:color w:val="auto"/>
          <w:sz w:val="21"/>
        </w:rPr>
        <w:t>2.2.2</w:t>
      </w:r>
      <w:r>
        <w:rPr>
          <w:color w:val="auto"/>
          <w:spacing w:val="-3"/>
          <w:sz w:val="21"/>
        </w:rPr>
        <w:t xml:space="preserve"> 评标基准价计算</w:t>
      </w:r>
      <w:r>
        <w:rPr>
          <w:color w:val="auto"/>
          <w:sz w:val="21"/>
        </w:rPr>
        <w:t xml:space="preserve"> </w:t>
      </w:r>
    </w:p>
    <w:p>
      <w:pPr>
        <w:pStyle w:val="8"/>
        <w:spacing w:before="1" w:line="393" w:lineRule="auto"/>
        <w:ind w:left="680" w:right="4919"/>
        <w:rPr>
          <w:color w:val="auto"/>
        </w:rPr>
      </w:pPr>
      <w:r>
        <w:rPr>
          <w:color w:val="auto"/>
        </w:rPr>
        <w:t xml:space="preserve">评标基准价计算方法：见评标办法前附表。2.2.3 投标报价的偏差率计算 </w:t>
      </w:r>
    </w:p>
    <w:p>
      <w:pPr>
        <w:pStyle w:val="8"/>
        <w:spacing w:line="391" w:lineRule="auto"/>
        <w:ind w:left="680" w:right="4287"/>
        <w:rPr>
          <w:color w:val="auto"/>
        </w:rPr>
      </w:pPr>
      <w:r>
        <w:rPr>
          <w:color w:val="auto"/>
        </w:rPr>
        <w:t xml:space="preserve">投标报价的偏差率计算公式：见评标办法前附表。2.2.4 评分标准 </w:t>
      </w:r>
    </w:p>
    <w:p>
      <w:pPr>
        <w:pStyle w:val="44"/>
        <w:numPr>
          <w:ilvl w:val="0"/>
          <w:numId w:val="14"/>
        </w:numPr>
        <w:tabs>
          <w:tab w:val="left" w:pos="1210"/>
        </w:tabs>
        <w:spacing w:before="2"/>
        <w:ind w:hanging="530"/>
        <w:rPr>
          <w:color w:val="auto"/>
          <w:sz w:val="21"/>
        </w:rPr>
      </w:pPr>
      <w:r>
        <w:rPr>
          <w:color w:val="auto"/>
          <w:spacing w:val="-3"/>
          <w:sz w:val="21"/>
        </w:rPr>
        <w:t>承包人建议书和承包人实施方案评分标准：见评标办法前附表；</w:t>
      </w:r>
      <w:r>
        <w:rPr>
          <w:color w:val="auto"/>
          <w:sz w:val="21"/>
        </w:rPr>
        <w:t xml:space="preserve"> </w:t>
      </w:r>
    </w:p>
    <w:p>
      <w:pPr>
        <w:pStyle w:val="44"/>
        <w:numPr>
          <w:ilvl w:val="0"/>
          <w:numId w:val="14"/>
        </w:numPr>
        <w:tabs>
          <w:tab w:val="left" w:pos="1210"/>
        </w:tabs>
        <w:spacing w:before="171"/>
        <w:ind w:hanging="530"/>
        <w:rPr>
          <w:color w:val="auto"/>
          <w:sz w:val="21"/>
        </w:rPr>
      </w:pPr>
      <w:r>
        <w:rPr>
          <w:color w:val="auto"/>
          <w:spacing w:val="-3"/>
          <w:sz w:val="21"/>
        </w:rPr>
        <w:t>资信业绩评分标准：见评标办法前附表；</w:t>
      </w:r>
      <w:r>
        <w:rPr>
          <w:color w:val="auto"/>
          <w:sz w:val="21"/>
        </w:rPr>
        <w:t xml:space="preserve"> </w:t>
      </w:r>
    </w:p>
    <w:p>
      <w:pPr>
        <w:pStyle w:val="44"/>
        <w:numPr>
          <w:ilvl w:val="0"/>
          <w:numId w:val="14"/>
        </w:numPr>
        <w:tabs>
          <w:tab w:val="left" w:pos="1210"/>
        </w:tabs>
        <w:spacing w:before="170"/>
        <w:ind w:hanging="530"/>
        <w:rPr>
          <w:color w:val="auto"/>
          <w:sz w:val="21"/>
        </w:rPr>
      </w:pPr>
      <w:r>
        <w:rPr>
          <w:color w:val="auto"/>
          <w:spacing w:val="-3"/>
          <w:sz w:val="21"/>
        </w:rPr>
        <w:t>投标报价评分标准：见评标办法前附表。</w:t>
      </w:r>
      <w:r>
        <w:rPr>
          <w:color w:val="auto"/>
          <w:sz w:val="21"/>
        </w:rPr>
        <w:t xml:space="preserve"> </w:t>
      </w:r>
    </w:p>
    <w:p>
      <w:pPr>
        <w:pStyle w:val="4"/>
        <w:numPr>
          <w:ilvl w:val="0"/>
          <w:numId w:val="12"/>
        </w:numPr>
        <w:tabs>
          <w:tab w:val="left" w:pos="987"/>
        </w:tabs>
        <w:spacing w:before="143"/>
        <w:ind w:hanging="245"/>
        <w:rPr>
          <w:color w:val="auto"/>
        </w:rPr>
      </w:pPr>
      <w:r>
        <w:rPr>
          <w:color w:val="auto"/>
        </w:rPr>
        <w:t>评标程序</w:t>
      </w:r>
      <w:r>
        <w:rPr>
          <w:color w:val="auto"/>
          <w:w w:val="99"/>
        </w:rPr>
        <w:t xml:space="preserve"> </w:t>
      </w:r>
    </w:p>
    <w:p>
      <w:pPr>
        <w:pStyle w:val="44"/>
        <w:numPr>
          <w:ilvl w:val="1"/>
          <w:numId w:val="12"/>
        </w:numPr>
        <w:tabs>
          <w:tab w:val="left" w:pos="999"/>
        </w:tabs>
        <w:spacing w:before="161"/>
        <w:ind w:hanging="319"/>
        <w:rPr>
          <w:color w:val="auto"/>
          <w:sz w:val="21"/>
        </w:rPr>
      </w:pPr>
      <w:r>
        <w:rPr>
          <w:color w:val="auto"/>
          <w:spacing w:val="-3"/>
          <w:sz w:val="21"/>
        </w:rPr>
        <w:t>初步评审</w:t>
      </w:r>
      <w:r>
        <w:rPr>
          <w:color w:val="auto"/>
          <w:sz w:val="21"/>
        </w:rPr>
        <w:t xml:space="preserve"> </w:t>
      </w:r>
    </w:p>
    <w:p>
      <w:pPr>
        <w:pStyle w:val="44"/>
        <w:numPr>
          <w:ilvl w:val="2"/>
          <w:numId w:val="12"/>
        </w:numPr>
        <w:tabs>
          <w:tab w:val="left" w:pos="1210"/>
        </w:tabs>
        <w:spacing w:before="170" w:line="393" w:lineRule="auto"/>
        <w:ind w:left="260" w:right="504" w:firstLine="420"/>
        <w:rPr>
          <w:color w:val="auto"/>
          <w:sz w:val="21"/>
        </w:rPr>
      </w:pPr>
      <w:r>
        <w:rPr>
          <w:color w:val="auto"/>
          <w:spacing w:val="-3"/>
          <w:sz w:val="21"/>
        </w:rPr>
        <w:t>评标委员会对投标人根据本文件第二章投标人须知前附表第</w:t>
      </w:r>
      <w:r>
        <w:rPr>
          <w:color w:val="auto"/>
          <w:sz w:val="21"/>
        </w:rPr>
        <w:t>3.1.1</w:t>
      </w:r>
      <w:r>
        <w:rPr>
          <w:color w:val="auto"/>
          <w:spacing w:val="-3"/>
          <w:sz w:val="21"/>
        </w:rPr>
        <w:t>项规定提交的有关证明和证件，进行审查核验。评标委员会依据本章第</w:t>
      </w:r>
      <w:r>
        <w:rPr>
          <w:color w:val="auto"/>
          <w:sz w:val="21"/>
        </w:rPr>
        <w:t>2.1</w:t>
      </w:r>
      <w:r>
        <w:rPr>
          <w:color w:val="auto"/>
          <w:spacing w:val="-3"/>
          <w:sz w:val="21"/>
        </w:rPr>
        <w:t>款规定的标准对投标文件进行初步评审。有</w:t>
      </w:r>
    </w:p>
    <w:p>
      <w:pPr>
        <w:spacing w:line="393" w:lineRule="auto"/>
        <w:rPr>
          <w:color w:val="auto"/>
          <w:sz w:val="21"/>
        </w:rPr>
        <w:sectPr>
          <w:type w:val="continuous"/>
          <w:pgSz w:w="11900" w:h="16840"/>
          <w:pgMar w:top="1580" w:right="1020" w:bottom="280" w:left="1180" w:header="720" w:footer="720" w:gutter="0"/>
          <w:cols w:space="720" w:num="1"/>
        </w:sectPr>
      </w:pPr>
    </w:p>
    <w:p>
      <w:pPr>
        <w:pStyle w:val="8"/>
        <w:spacing w:before="7"/>
        <w:rPr>
          <w:color w:val="auto"/>
          <w:sz w:val="10"/>
        </w:rPr>
      </w:pPr>
    </w:p>
    <w:p>
      <w:pPr>
        <w:pStyle w:val="8"/>
        <w:spacing w:before="72" w:line="391" w:lineRule="auto"/>
        <w:ind w:left="680" w:right="2924" w:hanging="420"/>
        <w:rPr>
          <w:color w:val="auto"/>
        </w:rPr>
      </w:pPr>
      <w:r>
        <w:rPr>
          <w:color w:val="auto"/>
        </w:rPr>
        <w:t xml:space="preserve">一项不符合评审标准的，作废标处理。（适用于开标后资格审查的） 3.1.2 投标人有以下情形之一的，其投标作废标处理： </w:t>
      </w:r>
    </w:p>
    <w:p>
      <w:pPr>
        <w:pStyle w:val="44"/>
        <w:numPr>
          <w:ilvl w:val="0"/>
          <w:numId w:val="15"/>
        </w:numPr>
        <w:tabs>
          <w:tab w:val="left" w:pos="1210"/>
        </w:tabs>
        <w:spacing w:before="3"/>
        <w:ind w:hanging="530"/>
        <w:rPr>
          <w:color w:val="auto"/>
          <w:sz w:val="21"/>
        </w:rPr>
      </w:pPr>
      <w:r>
        <w:rPr>
          <w:color w:val="auto"/>
          <w:spacing w:val="-3"/>
          <w:sz w:val="21"/>
        </w:rPr>
        <w:t xml:space="preserve">第二章“投标人须知”第 </w:t>
      </w:r>
      <w:r>
        <w:rPr>
          <w:color w:val="auto"/>
          <w:sz w:val="21"/>
        </w:rPr>
        <w:t>1.4.3</w:t>
      </w:r>
      <w:r>
        <w:rPr>
          <w:color w:val="auto"/>
          <w:spacing w:val="-3"/>
          <w:sz w:val="21"/>
        </w:rPr>
        <w:t xml:space="preserve"> 项规定的任何一种情形的；</w:t>
      </w:r>
      <w:r>
        <w:rPr>
          <w:color w:val="auto"/>
          <w:sz w:val="21"/>
        </w:rPr>
        <w:t xml:space="preserve"> </w:t>
      </w:r>
    </w:p>
    <w:p>
      <w:pPr>
        <w:pStyle w:val="44"/>
        <w:numPr>
          <w:ilvl w:val="0"/>
          <w:numId w:val="15"/>
        </w:numPr>
        <w:tabs>
          <w:tab w:val="left" w:pos="1210"/>
        </w:tabs>
        <w:spacing w:before="170"/>
        <w:ind w:hanging="530"/>
        <w:rPr>
          <w:color w:val="auto"/>
          <w:sz w:val="21"/>
        </w:rPr>
      </w:pPr>
      <w:r>
        <w:rPr>
          <w:color w:val="auto"/>
          <w:spacing w:val="-3"/>
          <w:sz w:val="21"/>
        </w:rPr>
        <w:t>以他人名义投标的；以行贿手段谋取中标的；</w:t>
      </w:r>
      <w:r>
        <w:rPr>
          <w:color w:val="auto"/>
          <w:sz w:val="21"/>
        </w:rPr>
        <w:t xml:space="preserve"> </w:t>
      </w:r>
    </w:p>
    <w:p>
      <w:pPr>
        <w:pStyle w:val="44"/>
        <w:numPr>
          <w:ilvl w:val="0"/>
          <w:numId w:val="15"/>
        </w:numPr>
        <w:tabs>
          <w:tab w:val="left" w:pos="1210"/>
        </w:tabs>
        <w:spacing w:before="171"/>
        <w:ind w:hanging="530"/>
        <w:rPr>
          <w:color w:val="auto"/>
          <w:sz w:val="21"/>
        </w:rPr>
      </w:pPr>
      <w:r>
        <w:rPr>
          <w:color w:val="auto"/>
          <w:spacing w:val="-3"/>
          <w:sz w:val="21"/>
        </w:rPr>
        <w:t>串通投标或弄虚作假或有其他违法行为的；</w:t>
      </w:r>
      <w:r>
        <w:rPr>
          <w:color w:val="auto"/>
          <w:sz w:val="21"/>
        </w:rPr>
        <w:t xml:space="preserve"> </w:t>
      </w:r>
    </w:p>
    <w:p>
      <w:pPr>
        <w:pStyle w:val="44"/>
        <w:numPr>
          <w:ilvl w:val="0"/>
          <w:numId w:val="15"/>
        </w:numPr>
        <w:tabs>
          <w:tab w:val="left" w:pos="1210"/>
        </w:tabs>
        <w:spacing w:before="172"/>
        <w:ind w:hanging="530"/>
        <w:rPr>
          <w:color w:val="auto"/>
          <w:sz w:val="21"/>
        </w:rPr>
      </w:pPr>
      <w:r>
        <w:rPr>
          <w:color w:val="auto"/>
          <w:spacing w:val="-3"/>
          <w:sz w:val="21"/>
        </w:rPr>
        <w:t>不按评标委员会要求澄清、说明或补正的。</w:t>
      </w:r>
      <w:r>
        <w:rPr>
          <w:color w:val="auto"/>
          <w:sz w:val="21"/>
        </w:rPr>
        <w:t xml:space="preserve"> </w:t>
      </w:r>
    </w:p>
    <w:p>
      <w:pPr>
        <w:pStyle w:val="8"/>
        <w:spacing w:before="170" w:line="393" w:lineRule="auto"/>
        <w:ind w:left="260" w:right="608" w:firstLine="420"/>
        <w:jc w:val="both"/>
        <w:rPr>
          <w:color w:val="auto"/>
        </w:rPr>
      </w:pPr>
      <w:r>
        <w:rPr>
          <w:color w:val="auto"/>
        </w:rPr>
        <w:t xml:space="preserve">3.1.3 评标委员会检查投标人投标报价是否有算术错误，算术性错误分析和修正按以下原则进行，修正的价格经投标人书面确认后具有约束力。投标人不接受修正价格的，其投标作废标处理。 </w:t>
      </w:r>
    </w:p>
    <w:p>
      <w:pPr>
        <w:pStyle w:val="44"/>
        <w:numPr>
          <w:ilvl w:val="0"/>
          <w:numId w:val="16"/>
        </w:numPr>
        <w:tabs>
          <w:tab w:val="left" w:pos="1210"/>
        </w:tabs>
        <w:spacing w:line="266" w:lineRule="exact"/>
        <w:ind w:hanging="530"/>
        <w:rPr>
          <w:color w:val="auto"/>
          <w:sz w:val="21"/>
        </w:rPr>
      </w:pPr>
      <w:r>
        <w:rPr>
          <w:color w:val="auto"/>
          <w:spacing w:val="-3"/>
          <w:sz w:val="21"/>
        </w:rPr>
        <w:t xml:space="preserve">投标文件中的大写金额与小写金额不一致的，以大写金额为准； </w:t>
      </w:r>
    </w:p>
    <w:p>
      <w:pPr>
        <w:pStyle w:val="44"/>
        <w:numPr>
          <w:ilvl w:val="0"/>
          <w:numId w:val="16"/>
        </w:numPr>
        <w:tabs>
          <w:tab w:val="left" w:pos="1210"/>
        </w:tabs>
        <w:spacing w:before="170" w:line="393" w:lineRule="auto"/>
        <w:ind w:left="260" w:right="505" w:firstLine="420"/>
        <w:rPr>
          <w:color w:val="auto"/>
          <w:sz w:val="21"/>
        </w:rPr>
      </w:pPr>
      <w:r>
        <w:rPr>
          <w:color w:val="auto"/>
          <w:spacing w:val="-3"/>
          <w:sz w:val="21"/>
        </w:rPr>
        <w:t>总价金额与依据单价计算出的结果不一致的，以单价金额为准修正总价，但单价金额小数点有明显错误的除外。</w:t>
      </w:r>
      <w:r>
        <w:rPr>
          <w:color w:val="auto"/>
          <w:sz w:val="21"/>
        </w:rPr>
        <w:t xml:space="preserve"> </w:t>
      </w:r>
    </w:p>
    <w:p>
      <w:pPr>
        <w:pStyle w:val="44"/>
        <w:numPr>
          <w:ilvl w:val="1"/>
          <w:numId w:val="12"/>
        </w:numPr>
        <w:tabs>
          <w:tab w:val="left" w:pos="999"/>
        </w:tabs>
        <w:spacing w:line="267" w:lineRule="exact"/>
        <w:ind w:hanging="319"/>
        <w:rPr>
          <w:color w:val="auto"/>
          <w:sz w:val="21"/>
        </w:rPr>
      </w:pPr>
      <w:r>
        <w:rPr>
          <w:color w:val="auto"/>
          <w:spacing w:val="-3"/>
          <w:sz w:val="21"/>
        </w:rPr>
        <w:t>详细评审</w:t>
      </w:r>
      <w:r>
        <w:rPr>
          <w:color w:val="auto"/>
          <w:sz w:val="21"/>
        </w:rPr>
        <w:t xml:space="preserve"> </w:t>
      </w:r>
    </w:p>
    <w:p>
      <w:pPr>
        <w:pStyle w:val="44"/>
        <w:numPr>
          <w:ilvl w:val="2"/>
          <w:numId w:val="12"/>
        </w:numPr>
        <w:tabs>
          <w:tab w:val="left" w:pos="1210"/>
        </w:tabs>
        <w:spacing w:before="171"/>
        <w:ind w:hanging="530"/>
        <w:rPr>
          <w:color w:val="auto"/>
          <w:sz w:val="21"/>
        </w:rPr>
      </w:pPr>
      <w:r>
        <w:rPr>
          <w:color w:val="auto"/>
          <w:sz w:val="21"/>
        </w:rPr>
        <w:t xml:space="preserve">评标委员会按本章第2.2 款规定的量化因素和分值进行打分，并计算出综合评估得分。 </w:t>
      </w:r>
    </w:p>
    <w:p>
      <w:pPr>
        <w:pStyle w:val="44"/>
        <w:numPr>
          <w:ilvl w:val="0"/>
          <w:numId w:val="17"/>
        </w:numPr>
        <w:tabs>
          <w:tab w:val="left" w:pos="1210"/>
        </w:tabs>
        <w:spacing w:before="172" w:line="391" w:lineRule="auto"/>
        <w:ind w:right="504" w:firstLine="420"/>
        <w:rPr>
          <w:color w:val="auto"/>
          <w:sz w:val="21"/>
        </w:rPr>
      </w:pPr>
      <w:r>
        <w:rPr>
          <w:color w:val="auto"/>
          <w:spacing w:val="-2"/>
          <w:sz w:val="21"/>
        </w:rPr>
        <w:t>按本章第</w:t>
      </w:r>
      <w:r>
        <w:rPr>
          <w:color w:val="auto"/>
          <w:spacing w:val="-1"/>
          <w:sz w:val="21"/>
        </w:rPr>
        <w:t>2.2.4（1）</w:t>
      </w:r>
      <w:r>
        <w:rPr>
          <w:color w:val="auto"/>
          <w:spacing w:val="-3"/>
          <w:sz w:val="21"/>
        </w:rPr>
        <w:t>目规定的评审因素和分值对承包人建议书和承包人实施方案计算出得分A ；</w:t>
      </w:r>
      <w:r>
        <w:rPr>
          <w:color w:val="auto"/>
          <w:sz w:val="21"/>
        </w:rPr>
        <w:t xml:space="preserve"> </w:t>
      </w:r>
    </w:p>
    <w:p>
      <w:pPr>
        <w:pStyle w:val="44"/>
        <w:numPr>
          <w:ilvl w:val="0"/>
          <w:numId w:val="17"/>
        </w:numPr>
        <w:tabs>
          <w:tab w:val="left" w:pos="1210"/>
        </w:tabs>
        <w:spacing w:before="1"/>
        <w:ind w:left="1209" w:hanging="530"/>
        <w:rPr>
          <w:color w:val="auto"/>
          <w:sz w:val="21"/>
        </w:rPr>
      </w:pPr>
      <w:r>
        <w:rPr>
          <w:color w:val="auto"/>
          <w:spacing w:val="-2"/>
          <w:sz w:val="21"/>
        </w:rPr>
        <w:t>按本章第</w:t>
      </w:r>
      <w:r>
        <w:rPr>
          <w:color w:val="auto"/>
          <w:sz w:val="21"/>
        </w:rPr>
        <w:t>2.2.4（2）</w:t>
      </w:r>
      <w:r>
        <w:rPr>
          <w:color w:val="auto"/>
          <w:spacing w:val="-3"/>
          <w:sz w:val="21"/>
        </w:rPr>
        <w:t>目规定的评审因素和分值对资信业绩计算出得分B；</w:t>
      </w:r>
      <w:r>
        <w:rPr>
          <w:color w:val="auto"/>
          <w:sz w:val="21"/>
        </w:rPr>
        <w:t xml:space="preserve"> </w:t>
      </w:r>
    </w:p>
    <w:p>
      <w:pPr>
        <w:pStyle w:val="44"/>
        <w:numPr>
          <w:ilvl w:val="0"/>
          <w:numId w:val="17"/>
        </w:numPr>
        <w:tabs>
          <w:tab w:val="left" w:pos="1210"/>
        </w:tabs>
        <w:spacing w:before="173" w:line="391" w:lineRule="auto"/>
        <w:ind w:left="680" w:right="1661" w:firstLine="0"/>
        <w:rPr>
          <w:color w:val="auto"/>
          <w:sz w:val="21"/>
        </w:rPr>
      </w:pPr>
      <w:r>
        <w:rPr>
          <w:color w:val="auto"/>
          <w:spacing w:val="-2"/>
          <w:sz w:val="21"/>
        </w:rPr>
        <w:t>按本章第</w:t>
      </w:r>
      <w:r>
        <w:rPr>
          <w:color w:val="auto"/>
          <w:sz w:val="21"/>
        </w:rPr>
        <w:t>2.2.4（3）</w:t>
      </w:r>
      <w:r>
        <w:rPr>
          <w:color w:val="auto"/>
          <w:spacing w:val="-3"/>
          <w:sz w:val="21"/>
        </w:rPr>
        <w:t>目规定的评审因素和分值对投标报价计算出得分</w:t>
      </w:r>
      <w:r>
        <w:rPr>
          <w:color w:val="auto"/>
          <w:sz w:val="21"/>
        </w:rPr>
        <w:t>C</w:t>
      </w:r>
      <w:r>
        <w:rPr>
          <w:color w:val="auto"/>
          <w:spacing w:val="4"/>
          <w:sz w:val="21"/>
        </w:rPr>
        <w:t xml:space="preserve"> 。3.2.2</w:t>
      </w:r>
      <w:r>
        <w:rPr>
          <w:color w:val="auto"/>
          <w:spacing w:val="-3"/>
          <w:sz w:val="21"/>
        </w:rPr>
        <w:t xml:space="preserve"> 评分分值计算保留小数点后两位，小数点后第三位“四舍五入”。</w:t>
      </w:r>
      <w:r>
        <w:rPr>
          <w:color w:val="auto"/>
          <w:sz w:val="21"/>
        </w:rPr>
        <w:t xml:space="preserve"> </w:t>
      </w:r>
    </w:p>
    <w:p>
      <w:pPr>
        <w:pStyle w:val="44"/>
        <w:numPr>
          <w:ilvl w:val="2"/>
          <w:numId w:val="18"/>
        </w:numPr>
        <w:tabs>
          <w:tab w:val="left" w:pos="1210"/>
        </w:tabs>
        <w:spacing w:before="2"/>
        <w:ind w:hanging="530"/>
        <w:rPr>
          <w:color w:val="auto"/>
          <w:sz w:val="21"/>
        </w:rPr>
      </w:pPr>
      <w:r>
        <w:rPr>
          <w:color w:val="auto"/>
          <w:spacing w:val="-3"/>
          <w:sz w:val="21"/>
        </w:rPr>
        <w:t>投标人得分=</w:t>
      </w:r>
      <w:r>
        <w:rPr>
          <w:color w:val="auto"/>
          <w:sz w:val="21"/>
        </w:rPr>
        <w:t xml:space="preserve">A+B+C。 </w:t>
      </w:r>
    </w:p>
    <w:p>
      <w:pPr>
        <w:pStyle w:val="44"/>
        <w:numPr>
          <w:ilvl w:val="2"/>
          <w:numId w:val="18"/>
        </w:numPr>
        <w:tabs>
          <w:tab w:val="left" w:pos="1210"/>
        </w:tabs>
        <w:spacing w:before="172" w:line="393" w:lineRule="auto"/>
        <w:ind w:left="260" w:right="608" w:firstLine="420"/>
        <w:jc w:val="both"/>
        <w:rPr>
          <w:color w:val="auto"/>
          <w:sz w:val="21"/>
        </w:rPr>
      </w:pPr>
      <w:r>
        <w:rPr>
          <w:color w:val="auto"/>
          <w:spacing w:val="-3"/>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r>
        <w:rPr>
          <w:color w:val="auto"/>
          <w:sz w:val="21"/>
        </w:rPr>
        <w:t xml:space="preserve"> </w:t>
      </w:r>
    </w:p>
    <w:p>
      <w:pPr>
        <w:pStyle w:val="44"/>
        <w:numPr>
          <w:ilvl w:val="1"/>
          <w:numId w:val="12"/>
        </w:numPr>
        <w:tabs>
          <w:tab w:val="left" w:pos="999"/>
        </w:tabs>
        <w:spacing w:line="263" w:lineRule="exact"/>
        <w:ind w:hanging="319"/>
        <w:rPr>
          <w:color w:val="auto"/>
          <w:sz w:val="21"/>
        </w:rPr>
      </w:pPr>
      <w:r>
        <w:rPr>
          <w:color w:val="auto"/>
          <w:spacing w:val="-3"/>
          <w:sz w:val="21"/>
        </w:rPr>
        <w:t xml:space="preserve">投标文件的澄清和补正 </w:t>
      </w:r>
    </w:p>
    <w:p>
      <w:pPr>
        <w:pStyle w:val="44"/>
        <w:numPr>
          <w:ilvl w:val="2"/>
          <w:numId w:val="12"/>
        </w:numPr>
        <w:tabs>
          <w:tab w:val="left" w:pos="1210"/>
        </w:tabs>
        <w:spacing w:before="171" w:line="393" w:lineRule="auto"/>
        <w:ind w:left="260" w:right="608" w:firstLine="420"/>
        <w:jc w:val="both"/>
        <w:rPr>
          <w:color w:val="auto"/>
          <w:sz w:val="21"/>
        </w:rPr>
      </w:pPr>
      <w:r>
        <w:rPr>
          <w:color w:val="auto"/>
          <w:spacing w:val="-3"/>
          <w:sz w:val="21"/>
        </w:rPr>
        <w:t>在评标过程中，评标委员会可以书面形式要求投标人对所提交投标文件中不明确的内容进行书面澄清或说明，或者对细微偏差进行补正。评标委员会不接受投标人主动提出的澄清、说明或补正。</w:t>
      </w:r>
      <w:r>
        <w:rPr>
          <w:color w:val="auto"/>
          <w:sz w:val="21"/>
        </w:rPr>
        <w:t xml:space="preserve"> </w:t>
      </w:r>
    </w:p>
    <w:p>
      <w:pPr>
        <w:pStyle w:val="44"/>
        <w:numPr>
          <w:ilvl w:val="2"/>
          <w:numId w:val="12"/>
        </w:numPr>
        <w:tabs>
          <w:tab w:val="left" w:pos="1210"/>
        </w:tabs>
        <w:spacing w:line="393" w:lineRule="auto"/>
        <w:ind w:left="260" w:right="608" w:firstLine="420"/>
        <w:rPr>
          <w:color w:val="auto"/>
          <w:sz w:val="21"/>
        </w:rPr>
      </w:pPr>
      <w:r>
        <w:rPr>
          <w:color w:val="auto"/>
          <w:spacing w:val="-3"/>
          <w:sz w:val="21"/>
        </w:rPr>
        <w:t>澄清、说明和补正不得改变投标文件的实质性内容</w:t>
      </w:r>
      <w:r>
        <w:rPr>
          <w:color w:val="auto"/>
          <w:sz w:val="21"/>
        </w:rPr>
        <w:t>（</w:t>
      </w:r>
      <w:r>
        <w:rPr>
          <w:color w:val="auto"/>
          <w:spacing w:val="-3"/>
          <w:sz w:val="21"/>
        </w:rPr>
        <w:t>算术性错误修正的除外</w:t>
      </w:r>
      <w:r>
        <w:rPr>
          <w:color w:val="auto"/>
          <w:sz w:val="21"/>
        </w:rPr>
        <w:t>）</w:t>
      </w:r>
      <w:r>
        <w:rPr>
          <w:color w:val="auto"/>
          <w:spacing w:val="-2"/>
          <w:sz w:val="21"/>
        </w:rPr>
        <w:t>。投标</w:t>
      </w:r>
      <w:r>
        <w:rPr>
          <w:color w:val="auto"/>
          <w:spacing w:val="-3"/>
          <w:sz w:val="21"/>
        </w:rPr>
        <w:t>人的书面澄清、说明和补正属于投标文件的组成部分。</w:t>
      </w:r>
      <w:r>
        <w:rPr>
          <w:color w:val="auto"/>
          <w:sz w:val="21"/>
        </w:rPr>
        <w:t xml:space="preserve"> </w:t>
      </w:r>
    </w:p>
    <w:p>
      <w:pPr>
        <w:pStyle w:val="44"/>
        <w:numPr>
          <w:ilvl w:val="2"/>
          <w:numId w:val="12"/>
        </w:numPr>
        <w:tabs>
          <w:tab w:val="left" w:pos="1210"/>
        </w:tabs>
        <w:spacing w:line="267" w:lineRule="exact"/>
        <w:ind w:hanging="530"/>
        <w:rPr>
          <w:color w:val="auto"/>
          <w:sz w:val="21"/>
        </w:rPr>
      </w:pPr>
      <w:r>
        <w:rPr>
          <w:color w:val="auto"/>
          <w:sz w:val="21"/>
        </w:rPr>
        <w:t>评标委员会对投标人提交的澄清、说明或补正有疑问的，可以要求投标人进一步澄清、</w:t>
      </w:r>
    </w:p>
    <w:p>
      <w:pPr>
        <w:spacing w:line="267" w:lineRule="exact"/>
        <w:rPr>
          <w:color w:val="auto"/>
          <w:sz w:val="21"/>
        </w:rPr>
        <w:sectPr>
          <w:pgSz w:w="11900" w:h="16840"/>
          <w:pgMar w:top="1360" w:right="1020" w:bottom="1200" w:left="1180" w:header="109" w:footer="1002" w:gutter="0"/>
          <w:cols w:space="720" w:num="1"/>
        </w:sectPr>
      </w:pPr>
    </w:p>
    <w:p>
      <w:pPr>
        <w:pStyle w:val="8"/>
        <w:spacing w:before="7"/>
        <w:rPr>
          <w:color w:val="auto"/>
          <w:sz w:val="10"/>
        </w:rPr>
      </w:pPr>
    </w:p>
    <w:p>
      <w:pPr>
        <w:pStyle w:val="8"/>
        <w:spacing w:before="72" w:line="391" w:lineRule="auto"/>
        <w:ind w:left="680" w:right="5339" w:hanging="420"/>
        <w:rPr>
          <w:color w:val="auto"/>
        </w:rPr>
      </w:pPr>
      <w:r>
        <w:rPr>
          <w:color w:val="auto"/>
        </w:rPr>
        <w:t xml:space="preserve">说明或补正，直至满足评标委员会的要求。3.4 记名投票 </w:t>
      </w:r>
    </w:p>
    <w:p>
      <w:pPr>
        <w:pStyle w:val="8"/>
        <w:spacing w:before="3" w:line="391" w:lineRule="auto"/>
        <w:ind w:left="260" w:right="608" w:firstLine="420"/>
        <w:rPr>
          <w:color w:val="auto"/>
        </w:rPr>
      </w:pPr>
      <w:r>
        <w:rPr>
          <w:color w:val="auto"/>
        </w:rPr>
        <w:t xml:space="preserve">在任何评标环节中，需评标委员会就某项定性的评审结论做出表决的，由评标委员会全体成员按照少数服从多数的原则，以记名投票方式表决。 </w:t>
      </w:r>
    </w:p>
    <w:p>
      <w:pPr>
        <w:pStyle w:val="44"/>
        <w:numPr>
          <w:ilvl w:val="1"/>
          <w:numId w:val="19"/>
        </w:numPr>
        <w:tabs>
          <w:tab w:val="left" w:pos="999"/>
        </w:tabs>
        <w:spacing w:before="2"/>
        <w:ind w:hanging="319"/>
        <w:rPr>
          <w:color w:val="auto"/>
          <w:sz w:val="21"/>
        </w:rPr>
      </w:pPr>
      <w:r>
        <w:rPr>
          <w:color w:val="auto"/>
          <w:spacing w:val="-3"/>
          <w:sz w:val="21"/>
        </w:rPr>
        <w:t>评标结果</w:t>
      </w:r>
      <w:r>
        <w:rPr>
          <w:color w:val="auto"/>
          <w:sz w:val="21"/>
        </w:rPr>
        <w:t xml:space="preserve"> </w:t>
      </w:r>
    </w:p>
    <w:p>
      <w:pPr>
        <w:pStyle w:val="44"/>
        <w:numPr>
          <w:ilvl w:val="2"/>
          <w:numId w:val="19"/>
        </w:numPr>
        <w:tabs>
          <w:tab w:val="left" w:pos="1210"/>
        </w:tabs>
        <w:spacing w:before="172" w:line="391" w:lineRule="auto"/>
        <w:ind w:right="608" w:firstLine="420"/>
        <w:rPr>
          <w:color w:val="auto"/>
          <w:sz w:val="21"/>
        </w:rPr>
      </w:pPr>
      <w:r>
        <w:rPr>
          <w:color w:val="auto"/>
          <w:spacing w:val="-3"/>
          <w:sz w:val="21"/>
        </w:rPr>
        <w:t>除第二章“投标人须知”前附表授权直接确定中标人外，评标委员会按照得分高到低的顺序推荐中标候选人。</w:t>
      </w:r>
      <w:r>
        <w:rPr>
          <w:color w:val="auto"/>
          <w:sz w:val="21"/>
        </w:rPr>
        <w:t xml:space="preserve"> </w:t>
      </w:r>
    </w:p>
    <w:p>
      <w:pPr>
        <w:pStyle w:val="44"/>
        <w:numPr>
          <w:ilvl w:val="2"/>
          <w:numId w:val="19"/>
        </w:numPr>
        <w:tabs>
          <w:tab w:val="left" w:pos="1210"/>
        </w:tabs>
        <w:spacing w:before="1"/>
        <w:ind w:left="1209" w:hanging="530"/>
        <w:rPr>
          <w:color w:val="auto"/>
          <w:sz w:val="21"/>
        </w:rPr>
      </w:pPr>
      <w:r>
        <w:rPr>
          <w:color w:val="auto"/>
          <w:spacing w:val="-3"/>
          <w:sz w:val="21"/>
        </w:rPr>
        <w:t>评标委员会完成评标后，由应当向招标人提交书面评标报告。</w:t>
      </w:r>
      <w:r>
        <w:rPr>
          <w:color w:val="auto"/>
          <w:sz w:val="21"/>
        </w:rPr>
        <w:t xml:space="preserve"> </w:t>
      </w:r>
    </w:p>
    <w:p>
      <w:pPr>
        <w:pStyle w:val="5"/>
        <w:tabs>
          <w:tab w:val="left" w:pos="3140"/>
        </w:tabs>
        <w:spacing w:before="30"/>
        <w:ind w:left="260"/>
        <w:rPr>
          <w:color w:val="auto"/>
        </w:rPr>
      </w:pPr>
      <w:r>
        <w:rPr>
          <w:color w:val="auto"/>
        </w:rPr>
        <w:t xml:space="preserve"> </w:t>
      </w:r>
      <w:r>
        <w:rPr>
          <w:color w:val="auto"/>
        </w:rPr>
        <w:tab/>
      </w:r>
      <w:r>
        <w:rPr>
          <w:color w:val="auto"/>
        </w:rPr>
        <w:t xml:space="preserve"> </w:t>
      </w:r>
    </w:p>
    <w:p>
      <w:pPr>
        <w:rPr>
          <w:color w:val="auto"/>
        </w:rPr>
        <w:sectPr>
          <w:pgSz w:w="11900" w:h="16840"/>
          <w:pgMar w:top="1360" w:right="1020" w:bottom="1200" w:left="1180" w:header="109" w:footer="1002" w:gutter="0"/>
          <w:cols w:space="720" w:num="1"/>
        </w:sectPr>
      </w:pPr>
    </w:p>
    <w:p>
      <w:pPr>
        <w:spacing w:before="64"/>
        <w:ind w:left="740"/>
        <w:rPr>
          <w:color w:val="auto"/>
          <w:sz w:val="24"/>
        </w:rPr>
      </w:pPr>
      <w:r>
        <w:rPr>
          <w:color w:val="auto"/>
          <w:sz w:val="24"/>
        </w:rPr>
        <w:t xml:space="preserve">附件3-1：废标条件 </w:t>
      </w:r>
    </w:p>
    <w:p>
      <w:pPr>
        <w:pStyle w:val="8"/>
        <w:rPr>
          <w:color w:val="auto"/>
          <w:sz w:val="20"/>
        </w:rPr>
      </w:pPr>
    </w:p>
    <w:p>
      <w:pPr>
        <w:spacing w:before="217"/>
        <w:ind w:left="3562" w:right="3021"/>
        <w:jc w:val="center"/>
        <w:rPr>
          <w:color w:val="auto"/>
          <w:sz w:val="28"/>
        </w:rPr>
      </w:pPr>
      <w:r>
        <w:rPr>
          <w:color w:val="auto"/>
          <w:sz w:val="28"/>
        </w:rPr>
        <w:t xml:space="preserve">废标条件 </w:t>
      </w:r>
    </w:p>
    <w:p>
      <w:pPr>
        <w:pStyle w:val="8"/>
        <w:spacing w:before="11"/>
        <w:rPr>
          <w:color w:val="auto"/>
          <w:sz w:val="24"/>
        </w:rPr>
      </w:pPr>
    </w:p>
    <w:p>
      <w:pPr>
        <w:pStyle w:val="8"/>
        <w:spacing w:before="72"/>
        <w:ind w:left="680"/>
        <w:rPr>
          <w:color w:val="auto"/>
        </w:rPr>
      </w:pPr>
      <w:r>
        <w:rPr>
          <w:color w:val="auto"/>
        </w:rPr>
        <w:t xml:space="preserve">1. 总 则 </w:t>
      </w:r>
    </w:p>
    <w:p>
      <w:pPr>
        <w:pStyle w:val="8"/>
        <w:spacing w:before="170" w:line="393" w:lineRule="auto"/>
        <w:ind w:left="260" w:right="204" w:firstLine="420"/>
        <w:rPr>
          <w:color w:val="auto"/>
        </w:rPr>
      </w:pPr>
      <w:r>
        <w:rPr>
          <w:color w:val="auto"/>
        </w:rPr>
        <w:t>本附件所集中列示的废标条件，是本章“评标办法”的组成部分，是对第二章“投标人须知” 和本章正文部分所规定的废标条件的总结和补充，如果出现相互矛盾的情况，以第二章“投标人</w:t>
      </w:r>
    </w:p>
    <w:p>
      <w:pPr>
        <w:pStyle w:val="8"/>
        <w:spacing w:line="391" w:lineRule="auto"/>
        <w:ind w:left="680" w:right="5968" w:hanging="420"/>
        <w:rPr>
          <w:color w:val="auto"/>
        </w:rPr>
      </w:pPr>
      <w:r>
        <w:rPr>
          <w:color w:val="auto"/>
        </w:rPr>
        <w:t xml:space="preserve">须知”和本章正文部分的规定为准。2．废标条件 </w:t>
      </w:r>
    </w:p>
    <w:p>
      <w:pPr>
        <w:pStyle w:val="8"/>
        <w:spacing w:before="3" w:line="391" w:lineRule="auto"/>
        <w:ind w:left="680" w:right="2924"/>
        <w:rPr>
          <w:color w:val="auto"/>
        </w:rPr>
      </w:pPr>
      <w:r>
        <w:rPr>
          <w:color w:val="auto"/>
          <w:spacing w:val="-3"/>
        </w:rPr>
        <w:t xml:space="preserve">投标人或其投标文件有下列情形之一的，其投标作废标处理：  </w:t>
      </w:r>
      <w:r>
        <w:rPr>
          <w:color w:val="auto"/>
        </w:rPr>
        <w:t>2.1</w:t>
      </w:r>
      <w:r>
        <w:rPr>
          <w:color w:val="auto"/>
          <w:spacing w:val="-3"/>
        </w:rPr>
        <w:t xml:space="preserve"> 有第二章“投标人须知”第</w:t>
      </w:r>
      <w:r>
        <w:rPr>
          <w:color w:val="auto"/>
        </w:rPr>
        <w:t>1.4.3</w:t>
      </w:r>
      <w:r>
        <w:rPr>
          <w:color w:val="auto"/>
          <w:spacing w:val="-3"/>
        </w:rPr>
        <w:t>项规定的任何一种情形的。</w:t>
      </w:r>
      <w:r>
        <w:rPr>
          <w:color w:val="auto"/>
        </w:rPr>
        <w:t xml:space="preserve"> </w:t>
      </w:r>
    </w:p>
    <w:p>
      <w:pPr>
        <w:pStyle w:val="44"/>
        <w:numPr>
          <w:ilvl w:val="1"/>
          <w:numId w:val="20"/>
        </w:numPr>
        <w:tabs>
          <w:tab w:val="left" w:pos="999"/>
        </w:tabs>
        <w:spacing w:before="1"/>
        <w:ind w:hanging="319"/>
        <w:rPr>
          <w:color w:val="auto"/>
          <w:sz w:val="21"/>
        </w:rPr>
      </w:pPr>
      <w:r>
        <w:rPr>
          <w:color w:val="auto"/>
          <w:spacing w:val="-3"/>
          <w:sz w:val="21"/>
        </w:rPr>
        <w:t>有串通投标或弄虚作假或有其他违法行为的。</w:t>
      </w:r>
      <w:r>
        <w:rPr>
          <w:color w:val="auto"/>
          <w:sz w:val="21"/>
        </w:rPr>
        <w:t xml:space="preserve"> </w:t>
      </w:r>
    </w:p>
    <w:p>
      <w:pPr>
        <w:pStyle w:val="44"/>
        <w:numPr>
          <w:ilvl w:val="1"/>
          <w:numId w:val="20"/>
        </w:numPr>
        <w:tabs>
          <w:tab w:val="left" w:pos="999"/>
        </w:tabs>
        <w:spacing w:before="172"/>
        <w:ind w:hanging="319"/>
        <w:rPr>
          <w:color w:val="auto"/>
          <w:sz w:val="21"/>
        </w:rPr>
      </w:pPr>
      <w:r>
        <w:rPr>
          <w:color w:val="auto"/>
          <w:spacing w:val="-3"/>
          <w:sz w:val="21"/>
        </w:rPr>
        <w:t>不按评标委员会要求澄清、说明或补正的。</w:t>
      </w:r>
      <w:r>
        <w:rPr>
          <w:color w:val="auto"/>
          <w:sz w:val="21"/>
        </w:rPr>
        <w:t xml:space="preserve"> </w:t>
      </w:r>
    </w:p>
    <w:p>
      <w:pPr>
        <w:pStyle w:val="44"/>
        <w:numPr>
          <w:ilvl w:val="1"/>
          <w:numId w:val="20"/>
        </w:numPr>
        <w:tabs>
          <w:tab w:val="left" w:pos="999"/>
        </w:tabs>
        <w:spacing w:before="171" w:line="391" w:lineRule="auto"/>
        <w:ind w:left="260" w:right="607" w:firstLine="420"/>
        <w:rPr>
          <w:color w:val="auto"/>
          <w:sz w:val="21"/>
        </w:rPr>
      </w:pPr>
      <w:r>
        <w:rPr>
          <w:color w:val="auto"/>
          <w:spacing w:val="-3"/>
          <w:sz w:val="21"/>
        </w:rPr>
        <w:t>在形式评审、资格评审、响应性评审中，评标委员会认定投标人的投标文件不符合评标办法前附表中规定的任何一项评审标准的。</w:t>
      </w:r>
      <w:r>
        <w:rPr>
          <w:color w:val="auto"/>
          <w:sz w:val="21"/>
        </w:rPr>
        <w:t xml:space="preserve"> </w:t>
      </w:r>
    </w:p>
    <w:p>
      <w:pPr>
        <w:pStyle w:val="44"/>
        <w:numPr>
          <w:ilvl w:val="1"/>
          <w:numId w:val="20"/>
        </w:numPr>
        <w:tabs>
          <w:tab w:val="left" w:pos="999"/>
        </w:tabs>
        <w:spacing w:before="3" w:line="391" w:lineRule="auto"/>
        <w:ind w:left="260" w:right="608" w:firstLine="420"/>
        <w:rPr>
          <w:color w:val="auto"/>
          <w:sz w:val="21"/>
        </w:rPr>
      </w:pPr>
      <w:r>
        <w:rPr>
          <w:color w:val="auto"/>
          <w:spacing w:val="-3"/>
          <w:sz w:val="21"/>
        </w:rPr>
        <w:t>当投标人资格申请文件的内容发生重大变化时，其在投标文件中更新的资料，未能通过资格评审的</w:t>
      </w:r>
      <w:r>
        <w:rPr>
          <w:color w:val="auto"/>
          <w:sz w:val="21"/>
        </w:rPr>
        <w:t>（</w:t>
      </w:r>
      <w:r>
        <w:rPr>
          <w:color w:val="auto"/>
          <w:spacing w:val="-3"/>
          <w:sz w:val="21"/>
        </w:rPr>
        <w:t>适用于开标前资格审查的）。</w:t>
      </w:r>
      <w:r>
        <w:rPr>
          <w:color w:val="auto"/>
          <w:sz w:val="21"/>
        </w:rPr>
        <w:t xml:space="preserve"> </w:t>
      </w:r>
    </w:p>
    <w:p>
      <w:pPr>
        <w:pStyle w:val="44"/>
        <w:numPr>
          <w:ilvl w:val="1"/>
          <w:numId w:val="20"/>
        </w:numPr>
        <w:tabs>
          <w:tab w:val="left" w:pos="999"/>
        </w:tabs>
        <w:spacing w:before="1" w:line="393" w:lineRule="auto"/>
        <w:ind w:left="260" w:right="608" w:firstLine="420"/>
        <w:rPr>
          <w:color w:val="auto"/>
          <w:sz w:val="21"/>
        </w:rPr>
      </w:pPr>
      <w:r>
        <w:rPr>
          <w:color w:val="auto"/>
          <w:spacing w:val="-3"/>
          <w:sz w:val="21"/>
        </w:rPr>
        <w:t>在承包人建议书和承包人实施方案评审中，评标委员会认定投标人的投标未能通过此项评审的。</w:t>
      </w:r>
      <w:r>
        <w:rPr>
          <w:color w:val="auto"/>
          <w:sz w:val="21"/>
        </w:rPr>
        <w:t xml:space="preserve"> </w:t>
      </w:r>
    </w:p>
    <w:p>
      <w:pPr>
        <w:pStyle w:val="44"/>
        <w:numPr>
          <w:ilvl w:val="1"/>
          <w:numId w:val="20"/>
        </w:numPr>
        <w:tabs>
          <w:tab w:val="left" w:pos="999"/>
        </w:tabs>
        <w:spacing w:line="268" w:lineRule="exact"/>
        <w:ind w:hanging="319"/>
        <w:rPr>
          <w:color w:val="auto"/>
          <w:sz w:val="21"/>
        </w:rPr>
      </w:pPr>
      <w:r>
        <w:rPr>
          <w:color w:val="auto"/>
          <w:spacing w:val="-3"/>
          <w:sz w:val="21"/>
        </w:rPr>
        <w:t>评标委员会认定投标人以低于成本报价竞标的。</w:t>
      </w:r>
      <w:r>
        <w:rPr>
          <w:color w:val="auto"/>
          <w:sz w:val="21"/>
        </w:rPr>
        <w:t xml:space="preserve"> </w:t>
      </w:r>
    </w:p>
    <w:p>
      <w:pPr>
        <w:pStyle w:val="44"/>
        <w:numPr>
          <w:ilvl w:val="1"/>
          <w:numId w:val="20"/>
        </w:numPr>
        <w:tabs>
          <w:tab w:val="left" w:pos="999"/>
        </w:tabs>
        <w:spacing w:before="171"/>
        <w:ind w:hanging="319"/>
        <w:rPr>
          <w:color w:val="auto"/>
          <w:sz w:val="21"/>
        </w:rPr>
      </w:pPr>
      <w:r>
        <w:rPr>
          <w:color w:val="auto"/>
          <w:spacing w:val="-3"/>
          <w:sz w:val="21"/>
        </w:rPr>
        <w:t>投标人未按第二章“投标人须知”第</w:t>
      </w:r>
      <w:r>
        <w:rPr>
          <w:color w:val="auto"/>
          <w:sz w:val="21"/>
        </w:rPr>
        <w:t>10.6</w:t>
      </w:r>
      <w:r>
        <w:rPr>
          <w:color w:val="auto"/>
          <w:spacing w:val="-3"/>
          <w:sz w:val="21"/>
        </w:rPr>
        <w:t>款规定出席开标会的。</w:t>
      </w:r>
      <w:r>
        <w:rPr>
          <w:color w:val="auto"/>
          <w:sz w:val="21"/>
        </w:rPr>
        <w:t xml:space="preserve"> </w:t>
      </w:r>
    </w:p>
    <w:p>
      <w:pPr>
        <w:pStyle w:val="44"/>
        <w:numPr>
          <w:ilvl w:val="1"/>
          <w:numId w:val="20"/>
        </w:numPr>
        <w:tabs>
          <w:tab w:val="left" w:pos="999"/>
        </w:tabs>
        <w:spacing w:before="172" w:line="391" w:lineRule="auto"/>
        <w:ind w:left="260" w:right="504" w:firstLine="420"/>
        <w:rPr>
          <w:color w:val="auto"/>
          <w:sz w:val="21"/>
        </w:rPr>
      </w:pPr>
      <w:r>
        <w:rPr>
          <w:color w:val="auto"/>
          <w:spacing w:val="-3"/>
          <w:sz w:val="21"/>
        </w:rPr>
        <w:t>投标报价有算术错误的，评标委员会按本章第</w:t>
      </w:r>
      <w:r>
        <w:rPr>
          <w:color w:val="auto"/>
          <w:sz w:val="21"/>
        </w:rPr>
        <w:t>3.1.3</w:t>
      </w:r>
      <w:r>
        <w:rPr>
          <w:color w:val="auto"/>
          <w:spacing w:val="-3"/>
          <w:sz w:val="21"/>
        </w:rPr>
        <w:t>项规定对投标报价进行修正，投标人不接受修正价格的。</w:t>
      </w:r>
      <w:r>
        <w:rPr>
          <w:color w:val="auto"/>
          <w:sz w:val="21"/>
        </w:rPr>
        <w:t xml:space="preserve"> </w:t>
      </w:r>
    </w:p>
    <w:p>
      <w:pPr>
        <w:pStyle w:val="44"/>
        <w:numPr>
          <w:ilvl w:val="1"/>
          <w:numId w:val="20"/>
        </w:numPr>
        <w:tabs>
          <w:tab w:val="left" w:pos="1104"/>
        </w:tabs>
        <w:spacing w:before="1"/>
        <w:ind w:left="1103" w:hanging="424"/>
        <w:rPr>
          <w:color w:val="auto"/>
          <w:sz w:val="21"/>
        </w:rPr>
      </w:pPr>
      <w:r>
        <w:rPr>
          <w:color w:val="auto"/>
          <w:spacing w:val="-3"/>
          <w:sz w:val="21"/>
        </w:rPr>
        <w:t xml:space="preserve">投标人递交两份或多份内容不同的投标文件的。 </w:t>
      </w:r>
    </w:p>
    <w:p>
      <w:pPr>
        <w:pStyle w:val="44"/>
        <w:numPr>
          <w:ilvl w:val="1"/>
          <w:numId w:val="20"/>
        </w:numPr>
        <w:tabs>
          <w:tab w:val="left" w:pos="1104"/>
        </w:tabs>
        <w:spacing w:before="173"/>
        <w:ind w:left="1103" w:hanging="424"/>
        <w:rPr>
          <w:color w:val="auto"/>
          <w:sz w:val="21"/>
        </w:rPr>
      </w:pPr>
      <w:r>
        <w:rPr>
          <w:color w:val="auto"/>
          <w:sz w:val="21"/>
        </w:rPr>
        <w:t xml:space="preserve">投标人不能提供合法的、真实的材料证明其投标文件的真实性或证明其为合格投标人的。 </w:t>
      </w:r>
    </w:p>
    <w:p>
      <w:pPr>
        <w:spacing w:before="28"/>
        <w:ind w:left="699"/>
        <w:rPr>
          <w:color w:val="auto"/>
        </w:rPr>
      </w:pPr>
      <w:r>
        <w:rPr>
          <w:color w:val="auto"/>
        </w:rPr>
        <w:t xml:space="preserve"> </w:t>
      </w:r>
    </w:p>
    <w:p>
      <w:pPr>
        <w:pStyle w:val="8"/>
        <w:spacing w:before="9"/>
        <w:rPr>
          <w:color w:val="auto"/>
        </w:rPr>
      </w:pPr>
    </w:p>
    <w:p>
      <w:pPr>
        <w:tabs>
          <w:tab w:val="left" w:pos="3140"/>
        </w:tabs>
        <w:ind w:left="260"/>
        <w:rPr>
          <w:color w:val="auto"/>
        </w:rPr>
      </w:pPr>
      <w:r>
        <w:rPr>
          <w:color w:val="auto"/>
        </w:rPr>
        <w:t xml:space="preserve"> </w:t>
      </w:r>
      <w:r>
        <w:rPr>
          <w:color w:val="auto"/>
        </w:rPr>
        <w:tab/>
      </w:r>
      <w:r>
        <w:rPr>
          <w:color w:val="auto"/>
        </w:rPr>
        <w:t xml:space="preserve"> </w:t>
      </w:r>
    </w:p>
    <w:p>
      <w:pPr>
        <w:rPr>
          <w:color w:val="auto"/>
        </w:rPr>
        <w:sectPr>
          <w:pgSz w:w="11900" w:h="16840"/>
          <w:pgMar w:top="1360" w:right="1020" w:bottom="1200" w:left="1180" w:header="109" w:footer="1002" w:gutter="0"/>
          <w:cols w:space="720" w:num="1"/>
        </w:sectPr>
      </w:pPr>
    </w:p>
    <w:p>
      <w:pPr>
        <w:spacing w:before="64"/>
        <w:ind w:left="260"/>
        <w:rPr>
          <w:color w:val="auto"/>
          <w:sz w:val="24"/>
        </w:rPr>
      </w:pPr>
      <w:bookmarkStart w:id="81" w:name="附件3-2：投标人成本评审办法"/>
      <w:bookmarkEnd w:id="81"/>
      <w:r>
        <w:rPr>
          <w:color w:val="auto"/>
          <w:sz w:val="24"/>
        </w:rPr>
        <w:t>附件</w:t>
      </w:r>
      <w:r>
        <w:rPr>
          <w:rFonts w:ascii="Times New Roman" w:eastAsia="Times New Roman"/>
          <w:color w:val="auto"/>
          <w:sz w:val="24"/>
        </w:rPr>
        <w:t>3-2</w:t>
      </w:r>
      <w:r>
        <w:rPr>
          <w:color w:val="auto"/>
          <w:sz w:val="24"/>
        </w:rPr>
        <w:t>：投标人成本评审办法</w:t>
      </w:r>
    </w:p>
    <w:p>
      <w:pPr>
        <w:pStyle w:val="8"/>
        <w:spacing w:before="2"/>
        <w:rPr>
          <w:color w:val="auto"/>
          <w:sz w:val="14"/>
        </w:rPr>
      </w:pPr>
    </w:p>
    <w:p>
      <w:pPr>
        <w:spacing w:before="61"/>
        <w:ind w:left="3493" w:right="3508"/>
        <w:jc w:val="center"/>
        <w:rPr>
          <w:color w:val="auto"/>
          <w:sz w:val="28"/>
        </w:rPr>
      </w:pPr>
      <w:r>
        <w:rPr>
          <w:color w:val="auto"/>
          <w:sz w:val="28"/>
        </w:rPr>
        <w:t xml:space="preserve">投标人成本评审办法 </w:t>
      </w:r>
    </w:p>
    <w:p>
      <w:pPr>
        <w:pStyle w:val="8"/>
        <w:spacing w:before="8"/>
        <w:rPr>
          <w:color w:val="auto"/>
          <w:sz w:val="29"/>
        </w:rPr>
      </w:pPr>
    </w:p>
    <w:p>
      <w:pPr>
        <w:pStyle w:val="8"/>
        <w:spacing w:before="71"/>
        <w:ind w:left="680"/>
        <w:rPr>
          <w:color w:val="auto"/>
        </w:rPr>
      </w:pPr>
      <w:r>
        <w:rPr>
          <w:color w:val="auto"/>
        </w:rPr>
        <w:t xml:space="preserve">1. 总 则 </w:t>
      </w:r>
    </w:p>
    <w:p>
      <w:pPr>
        <w:pStyle w:val="8"/>
        <w:spacing w:before="171" w:line="391" w:lineRule="auto"/>
        <w:ind w:left="260" w:right="504" w:firstLine="420"/>
        <w:rPr>
          <w:color w:val="auto"/>
        </w:rPr>
      </w:pPr>
      <w:r>
        <w:rPr>
          <w:color w:val="auto"/>
        </w:rPr>
        <w:t xml:space="preserve">本附件是本章“评标办法”的组成部分，评标委员会按照本章第3.2.2项的规定，对投标人投标报价是否低于其成本进行评审和判断时，适用本附件所规定的办法。 </w:t>
      </w:r>
    </w:p>
    <w:p>
      <w:pPr>
        <w:pStyle w:val="44"/>
        <w:numPr>
          <w:ilvl w:val="0"/>
          <w:numId w:val="21"/>
        </w:numPr>
        <w:tabs>
          <w:tab w:val="left" w:pos="893"/>
        </w:tabs>
        <w:spacing w:before="3"/>
        <w:rPr>
          <w:color w:val="auto"/>
          <w:sz w:val="19"/>
        </w:rPr>
      </w:pPr>
      <w:r>
        <w:rPr>
          <w:color w:val="auto"/>
          <w:spacing w:val="-3"/>
          <w:sz w:val="21"/>
        </w:rPr>
        <w:t>评审程序</w:t>
      </w:r>
      <w:r>
        <w:rPr>
          <w:color w:val="auto"/>
          <w:sz w:val="21"/>
        </w:rPr>
        <w:t xml:space="preserve"> </w:t>
      </w:r>
    </w:p>
    <w:p>
      <w:pPr>
        <w:pStyle w:val="44"/>
        <w:numPr>
          <w:ilvl w:val="1"/>
          <w:numId w:val="21"/>
        </w:numPr>
        <w:tabs>
          <w:tab w:val="left" w:pos="999"/>
        </w:tabs>
        <w:spacing w:before="170"/>
        <w:ind w:hanging="319"/>
        <w:rPr>
          <w:color w:val="auto"/>
          <w:sz w:val="21"/>
        </w:rPr>
      </w:pPr>
      <w:r>
        <w:rPr>
          <w:color w:val="auto"/>
          <w:spacing w:val="-3"/>
          <w:sz w:val="21"/>
        </w:rPr>
        <w:t>启动成本评审工作的前提条件</w:t>
      </w:r>
      <w:r>
        <w:rPr>
          <w:color w:val="auto"/>
          <w:sz w:val="21"/>
        </w:rPr>
        <w:t xml:space="preserve"> </w:t>
      </w:r>
    </w:p>
    <w:p>
      <w:pPr>
        <w:pStyle w:val="8"/>
        <w:spacing w:before="170" w:line="393" w:lineRule="auto"/>
        <w:ind w:left="260" w:right="608" w:firstLine="420"/>
        <w:rPr>
          <w:color w:val="auto"/>
        </w:rPr>
      </w:pPr>
      <w:r>
        <w:rPr>
          <w:color w:val="auto"/>
        </w:rPr>
        <w:t xml:space="preserve">在满足下列两项条件的前提下，评标委员会应当启动并进行本办法所规定的评审，以判别投标人的投标报价是否低于其成本： </w:t>
      </w:r>
    </w:p>
    <w:p>
      <w:pPr>
        <w:pStyle w:val="44"/>
        <w:numPr>
          <w:ilvl w:val="2"/>
          <w:numId w:val="21"/>
        </w:numPr>
        <w:tabs>
          <w:tab w:val="left" w:pos="1210"/>
        </w:tabs>
        <w:spacing w:line="391" w:lineRule="auto"/>
        <w:ind w:right="608" w:firstLine="420"/>
        <w:rPr>
          <w:color w:val="auto"/>
          <w:sz w:val="21"/>
        </w:rPr>
      </w:pPr>
      <w:r>
        <w:rPr>
          <w:color w:val="auto"/>
          <w:spacing w:val="-3"/>
          <w:sz w:val="21"/>
        </w:rPr>
        <w:t>投标人的投标文件已经通过“评标办法”规定的“初步评审”，不存在应当废标的情形；</w:t>
      </w:r>
      <w:r>
        <w:rPr>
          <w:color w:val="auto"/>
          <w:sz w:val="21"/>
        </w:rPr>
        <w:t xml:space="preserve"> </w:t>
      </w:r>
    </w:p>
    <w:p>
      <w:pPr>
        <w:pStyle w:val="44"/>
        <w:numPr>
          <w:ilvl w:val="2"/>
          <w:numId w:val="21"/>
        </w:numPr>
        <w:tabs>
          <w:tab w:val="left" w:pos="1210"/>
        </w:tabs>
        <w:spacing w:before="3"/>
        <w:ind w:left="1209" w:hanging="530"/>
        <w:rPr>
          <w:color w:val="auto"/>
          <w:sz w:val="21"/>
        </w:rPr>
      </w:pPr>
      <w:r>
        <w:rPr>
          <w:color w:val="auto"/>
          <w:spacing w:val="-3"/>
          <w:sz w:val="21"/>
        </w:rPr>
        <w:t>投标人的投标报价低于（</w:t>
      </w:r>
      <w:r>
        <w:rPr>
          <w:color w:val="auto"/>
          <w:spacing w:val="-2"/>
          <w:sz w:val="21"/>
        </w:rPr>
        <w:t>不含</w:t>
      </w:r>
      <w:r>
        <w:rPr>
          <w:color w:val="auto"/>
          <w:sz w:val="21"/>
        </w:rPr>
        <w:t>）</w:t>
      </w:r>
      <w:r>
        <w:rPr>
          <w:color w:val="auto"/>
          <w:spacing w:val="-3"/>
          <w:sz w:val="21"/>
        </w:rPr>
        <w:t>投标人有效报价的投标报价算术平均值</w:t>
      </w:r>
      <w:r>
        <w:rPr>
          <w:color w:val="auto"/>
          <w:sz w:val="21"/>
        </w:rPr>
        <w:t>5%</w:t>
      </w:r>
      <w:r>
        <w:rPr>
          <w:color w:val="auto"/>
          <w:spacing w:val="-3"/>
          <w:sz w:val="21"/>
        </w:rPr>
        <w:t>的。</w:t>
      </w:r>
      <w:r>
        <w:rPr>
          <w:color w:val="auto"/>
          <w:sz w:val="21"/>
        </w:rPr>
        <w:t xml:space="preserve"> </w:t>
      </w:r>
    </w:p>
    <w:p>
      <w:pPr>
        <w:pStyle w:val="44"/>
        <w:numPr>
          <w:ilvl w:val="1"/>
          <w:numId w:val="21"/>
        </w:numPr>
        <w:tabs>
          <w:tab w:val="left" w:pos="999"/>
        </w:tabs>
        <w:spacing w:before="170"/>
        <w:ind w:hanging="319"/>
        <w:rPr>
          <w:color w:val="auto"/>
          <w:sz w:val="21"/>
        </w:rPr>
      </w:pPr>
      <w:r>
        <w:rPr>
          <w:color w:val="auto"/>
          <w:spacing w:val="-3"/>
          <w:sz w:val="21"/>
        </w:rPr>
        <w:t>判断投标报价是否低于成本。</w:t>
      </w:r>
      <w:r>
        <w:rPr>
          <w:color w:val="auto"/>
          <w:sz w:val="21"/>
        </w:rPr>
        <w:t xml:space="preserve"> </w:t>
      </w:r>
    </w:p>
    <w:p>
      <w:pPr>
        <w:pStyle w:val="8"/>
        <w:spacing w:before="170" w:line="393" w:lineRule="auto"/>
        <w:ind w:left="260" w:right="608" w:firstLine="420"/>
        <w:rPr>
          <w:color w:val="auto"/>
        </w:rPr>
      </w:pPr>
      <w:r>
        <w:rPr>
          <w:color w:val="auto"/>
        </w:rPr>
        <w:t>投标人有效报价</w:t>
      </w:r>
      <w:r>
        <w:rPr>
          <w:rFonts w:hint="eastAsia"/>
          <w:color w:val="auto"/>
          <w:lang w:eastAsia="zh-CN"/>
        </w:rPr>
        <w:t>低于招标控制价的</w:t>
      </w:r>
      <w:r>
        <w:rPr>
          <w:color w:val="auto"/>
        </w:rPr>
        <w:t xml:space="preserve">5%的报价，评标委员会可以通过以下方法对投标报价作出评审结论： </w:t>
      </w:r>
    </w:p>
    <w:p>
      <w:pPr>
        <w:adjustRightInd w:val="0"/>
        <w:snapToGrid w:val="0"/>
        <w:spacing w:line="360" w:lineRule="auto"/>
        <w:ind w:firstLine="440" w:firstLineChars="200"/>
        <w:rPr>
          <w:b w:val="0"/>
          <w:bCs w:val="0"/>
          <w:color w:val="auto"/>
        </w:rPr>
      </w:pPr>
      <w:r>
        <w:rPr>
          <w:rFonts w:hint="eastAsia"/>
          <w:b w:val="0"/>
          <w:bCs w:val="0"/>
          <w:color w:val="auto"/>
        </w:rPr>
        <w:sym w:font="Wingdings 2" w:char="0052"/>
      </w:r>
      <w:r>
        <w:rPr>
          <w:b w:val="0"/>
          <w:bCs w:val="0"/>
          <w:color w:val="auto"/>
        </w:rPr>
        <w:t>（一）</w:t>
      </w:r>
      <w:r>
        <w:rPr>
          <w:rFonts w:hint="eastAsia" w:ascii="宋体" w:hAnsi="宋体"/>
          <w:b/>
          <w:bCs/>
          <w:color w:val="auto"/>
          <w:kern w:val="0"/>
        </w:rPr>
        <w:t>评标委员会直接作出投标报价低于其企业成本的评审结论，为无效报价，作废标处理。</w:t>
      </w:r>
      <w:r>
        <w:rPr>
          <w:b w:val="0"/>
          <w:bCs w:val="0"/>
          <w:color w:val="auto"/>
        </w:rPr>
        <w:t xml:space="preserve"> </w:t>
      </w:r>
    </w:p>
    <w:p>
      <w:pPr>
        <w:pStyle w:val="8"/>
        <w:spacing w:before="171" w:line="393" w:lineRule="auto"/>
        <w:ind w:left="260" w:right="607" w:firstLine="420"/>
        <w:jc w:val="both"/>
        <w:rPr>
          <w:color w:val="auto"/>
        </w:rPr>
      </w:pPr>
      <w:r>
        <w:rPr>
          <w:color w:val="auto"/>
        </w:rPr>
        <w:t xml:space="preserve">（二）认为无法直接对投标报价作出评审结论的，对其投标人进行询价，评标委员会对该投标人报价的单价等进行分析，对明显偏低的单项应当向其发出澄清函，要求该投标人以书面说明提供相关证明材料；并由评标委员会全体成员按照少数服从多数的原则，以记名投票方式表决认定是否低于成本。 </w:t>
      </w:r>
    </w:p>
    <w:p>
      <w:pPr>
        <w:pStyle w:val="8"/>
        <w:spacing w:line="391" w:lineRule="auto"/>
        <w:ind w:left="680" w:right="924"/>
        <w:rPr>
          <w:color w:val="auto"/>
        </w:rPr>
      </w:pPr>
      <w:r>
        <w:rPr>
          <w:color w:val="auto"/>
        </w:rPr>
        <w:t xml:space="preserve">投标人拒绝提交说明和证明材料的，应当直接作出其投标报价低于其成本的评审结论。2.3投标报价低于其成本的不进入最终详细评审排名。 </w:t>
      </w:r>
    </w:p>
    <w:p>
      <w:pPr>
        <w:spacing w:before="50"/>
        <w:ind w:left="699"/>
        <w:rPr>
          <w:color w:val="auto"/>
        </w:rPr>
      </w:pPr>
      <w:r>
        <w:rPr>
          <w:color w:val="auto"/>
        </w:rPr>
        <w:t xml:space="preserve"> </w:t>
      </w:r>
    </w:p>
    <w:p>
      <w:pPr>
        <w:rPr>
          <w:color w:val="auto"/>
        </w:rPr>
        <w:sectPr>
          <w:pgSz w:w="11900" w:h="16840"/>
          <w:pgMar w:top="1360" w:right="1020" w:bottom="1200" w:left="1180" w:header="109" w:footer="1002" w:gutter="0"/>
          <w:cols w:space="720" w:num="1"/>
        </w:sectPr>
      </w:pPr>
    </w:p>
    <w:p>
      <w:pPr>
        <w:spacing w:before="64"/>
        <w:ind w:left="260"/>
        <w:rPr>
          <w:color w:val="auto"/>
          <w:sz w:val="24"/>
        </w:rPr>
      </w:pPr>
      <w:bookmarkStart w:id="82" w:name="附件3-3：计算机辅助评标方法"/>
      <w:bookmarkEnd w:id="82"/>
      <w:r>
        <w:rPr>
          <w:color w:val="auto"/>
          <w:sz w:val="24"/>
        </w:rPr>
        <w:t>附件</w:t>
      </w:r>
      <w:r>
        <w:rPr>
          <w:rFonts w:ascii="Times New Roman" w:eastAsia="Times New Roman"/>
          <w:color w:val="auto"/>
          <w:sz w:val="24"/>
        </w:rPr>
        <w:t>3-3</w:t>
      </w:r>
      <w:r>
        <w:rPr>
          <w:color w:val="auto"/>
          <w:sz w:val="24"/>
        </w:rPr>
        <w:t>：计算机辅助评标方法</w:t>
      </w:r>
    </w:p>
    <w:p>
      <w:pPr>
        <w:pStyle w:val="8"/>
        <w:rPr>
          <w:color w:val="auto"/>
          <w:sz w:val="20"/>
        </w:rPr>
      </w:pPr>
    </w:p>
    <w:p>
      <w:pPr>
        <w:spacing w:before="61"/>
        <w:ind w:left="3493" w:right="3508"/>
        <w:jc w:val="center"/>
        <w:rPr>
          <w:color w:val="auto"/>
          <w:sz w:val="28"/>
        </w:rPr>
      </w:pPr>
      <w:r>
        <w:rPr>
          <w:color w:val="auto"/>
          <w:sz w:val="28"/>
        </w:rPr>
        <w:t xml:space="preserve">计算机辅助评标方法 </w:t>
      </w:r>
    </w:p>
    <w:p>
      <w:pPr>
        <w:pStyle w:val="8"/>
        <w:rPr>
          <w:color w:val="auto"/>
          <w:sz w:val="20"/>
        </w:rPr>
      </w:pPr>
    </w:p>
    <w:p>
      <w:pPr>
        <w:pStyle w:val="8"/>
        <w:spacing w:before="6"/>
        <w:rPr>
          <w:color w:val="auto"/>
          <w:sz w:val="17"/>
        </w:rPr>
      </w:pPr>
    </w:p>
    <w:p>
      <w:pPr>
        <w:spacing w:before="75"/>
        <w:ind w:left="620"/>
        <w:rPr>
          <w:color w:val="auto"/>
          <w:sz w:val="18"/>
        </w:rPr>
      </w:pPr>
      <w:r>
        <w:rPr>
          <w:color w:val="auto"/>
          <w:sz w:val="18"/>
        </w:rPr>
        <w:t xml:space="preserve">本项目采用计算机辅助评标。 </w:t>
      </w:r>
    </w:p>
    <w:p>
      <w:pPr>
        <w:pStyle w:val="8"/>
        <w:rPr>
          <w:color w:val="auto"/>
          <w:sz w:val="20"/>
        </w:rPr>
      </w:pPr>
    </w:p>
    <w:p>
      <w:pPr>
        <w:pStyle w:val="8"/>
        <w:spacing w:before="11"/>
        <w:rPr>
          <w:color w:val="auto"/>
          <w:sz w:val="27"/>
        </w:rPr>
      </w:pPr>
    </w:p>
    <w:p>
      <w:pPr>
        <w:spacing w:before="75"/>
        <w:ind w:left="620"/>
        <w:rPr>
          <w:color w:val="auto"/>
          <w:sz w:val="18"/>
        </w:rPr>
      </w:pPr>
      <w:r>
        <w:rPr>
          <w:color w:val="auto"/>
          <w:sz w:val="18"/>
        </w:rPr>
        <w:t xml:space="preserve"> </w:t>
      </w:r>
    </w:p>
    <w:p>
      <w:pPr>
        <w:rPr>
          <w:color w:val="auto"/>
          <w:sz w:val="18"/>
        </w:rPr>
        <w:sectPr>
          <w:pgSz w:w="11900" w:h="16840"/>
          <w:pgMar w:top="1360" w:right="1020" w:bottom="1200" w:left="1180" w:header="109" w:footer="1002" w:gutter="0"/>
          <w:cols w:space="720" w:num="1"/>
        </w:sectPr>
      </w:pPr>
    </w:p>
    <w:p>
      <w:pPr>
        <w:pStyle w:val="5"/>
        <w:spacing w:before="64"/>
        <w:ind w:left="260"/>
        <w:rPr>
          <w:color w:val="auto"/>
        </w:rPr>
      </w:pPr>
      <w:r>
        <w:rPr>
          <w:color w:val="auto"/>
        </w:rPr>
        <w:t>附表3-1：基本情况和数据表</w:t>
      </w:r>
    </w:p>
    <w:p>
      <w:pPr>
        <w:pStyle w:val="8"/>
        <w:spacing w:before="7"/>
        <w:rPr>
          <w:color w:val="auto"/>
          <w:sz w:val="23"/>
        </w:rPr>
      </w:pPr>
    </w:p>
    <w:p>
      <w:pPr>
        <w:spacing w:before="61"/>
        <w:ind w:left="3562" w:right="3159"/>
        <w:jc w:val="center"/>
        <w:rPr>
          <w:color w:val="auto"/>
          <w:sz w:val="28"/>
        </w:rPr>
      </w:pPr>
      <w:r>
        <w:rPr>
          <w:color w:val="auto"/>
          <w:sz w:val="28"/>
        </w:rPr>
        <w:t>基本情况和数据表</w:t>
      </w:r>
    </w:p>
    <w:p>
      <w:pPr>
        <w:pStyle w:val="8"/>
        <w:rPr>
          <w:color w:val="auto"/>
          <w:sz w:val="20"/>
        </w:rPr>
      </w:pPr>
    </w:p>
    <w:p>
      <w:pPr>
        <w:pStyle w:val="8"/>
        <w:spacing w:before="10"/>
        <w:rPr>
          <w:color w:val="auto"/>
          <w:sz w:val="22"/>
        </w:rPr>
      </w:pPr>
    </w:p>
    <w:tbl>
      <w:tblPr>
        <w:tblStyle w:val="16"/>
        <w:tblW w:w="8312" w:type="dxa"/>
        <w:tblInd w:w="6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9"/>
        <w:gridCol w:w="2122"/>
        <w:gridCol w:w="55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679" w:type="dxa"/>
            <w:tcBorders>
              <w:bottom w:val="single" w:color="000000" w:sz="6" w:space="0"/>
              <w:right w:val="single" w:color="000000" w:sz="6" w:space="0"/>
            </w:tcBorders>
          </w:tcPr>
          <w:p>
            <w:pPr>
              <w:pStyle w:val="45"/>
              <w:rPr>
                <w:color w:val="auto"/>
                <w:sz w:val="13"/>
              </w:rPr>
            </w:pPr>
          </w:p>
          <w:p>
            <w:pPr>
              <w:pStyle w:val="45"/>
              <w:spacing w:before="1"/>
              <w:ind w:left="182" w:right="73"/>
              <w:jc w:val="center"/>
              <w:rPr>
                <w:color w:val="auto"/>
                <w:sz w:val="18"/>
              </w:rPr>
            </w:pPr>
            <w:r>
              <w:rPr>
                <w:color w:val="auto"/>
                <w:sz w:val="18"/>
              </w:rPr>
              <w:t xml:space="preserve">序号 </w:t>
            </w:r>
          </w:p>
        </w:tc>
        <w:tc>
          <w:tcPr>
            <w:tcW w:w="2122" w:type="dxa"/>
            <w:tcBorders>
              <w:left w:val="single" w:color="000000" w:sz="6" w:space="0"/>
              <w:bottom w:val="single" w:color="000000" w:sz="6" w:space="0"/>
              <w:right w:val="single" w:color="000000" w:sz="6" w:space="0"/>
            </w:tcBorders>
          </w:tcPr>
          <w:p>
            <w:pPr>
              <w:pStyle w:val="45"/>
              <w:rPr>
                <w:color w:val="auto"/>
                <w:sz w:val="13"/>
              </w:rPr>
            </w:pPr>
          </w:p>
          <w:p>
            <w:pPr>
              <w:pStyle w:val="45"/>
              <w:spacing w:before="1"/>
              <w:ind w:left="281" w:right="162"/>
              <w:jc w:val="center"/>
              <w:rPr>
                <w:color w:val="auto"/>
                <w:sz w:val="18"/>
              </w:rPr>
            </w:pPr>
            <w:r>
              <w:rPr>
                <w:color w:val="auto"/>
                <w:sz w:val="18"/>
              </w:rPr>
              <w:t xml:space="preserve">名称 </w:t>
            </w:r>
          </w:p>
        </w:tc>
        <w:tc>
          <w:tcPr>
            <w:tcW w:w="5511" w:type="dxa"/>
            <w:tcBorders>
              <w:left w:val="single" w:color="000000" w:sz="6" w:space="0"/>
              <w:bottom w:val="single" w:color="000000" w:sz="6" w:space="0"/>
            </w:tcBorders>
          </w:tcPr>
          <w:p>
            <w:pPr>
              <w:pStyle w:val="45"/>
              <w:rPr>
                <w:color w:val="auto"/>
                <w:sz w:val="13"/>
              </w:rPr>
            </w:pPr>
          </w:p>
          <w:p>
            <w:pPr>
              <w:pStyle w:val="45"/>
              <w:spacing w:before="1"/>
              <w:ind w:left="2607" w:right="2480"/>
              <w:jc w:val="center"/>
              <w:rPr>
                <w:color w:val="auto"/>
                <w:sz w:val="18"/>
              </w:rPr>
            </w:pPr>
            <w:r>
              <w:rPr>
                <w:color w:val="auto"/>
                <w:sz w:val="18"/>
              </w:rPr>
              <w:t xml:space="preserve">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79" w:type="dxa"/>
            <w:tcBorders>
              <w:top w:val="single" w:color="000000" w:sz="6" w:space="0"/>
              <w:bottom w:val="single" w:color="000000" w:sz="6" w:space="0"/>
              <w:right w:val="single" w:color="000000" w:sz="6" w:space="0"/>
            </w:tcBorders>
          </w:tcPr>
          <w:p>
            <w:pPr>
              <w:pStyle w:val="45"/>
              <w:spacing w:before="88"/>
              <w:ind w:left="181" w:right="73"/>
              <w:jc w:val="center"/>
              <w:rPr>
                <w:color w:val="auto"/>
                <w:sz w:val="18"/>
              </w:rPr>
            </w:pPr>
            <w:r>
              <w:rPr>
                <w:color w:val="auto"/>
                <w:sz w:val="18"/>
              </w:rPr>
              <w:t xml:space="preserve">1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工程名称 </w:t>
            </w:r>
          </w:p>
        </w:tc>
        <w:tc>
          <w:tcPr>
            <w:tcW w:w="5511" w:type="dxa"/>
            <w:tcBorders>
              <w:top w:val="single" w:color="000000" w:sz="6" w:space="0"/>
              <w:left w:val="single" w:color="000000" w:sz="6" w:space="0"/>
              <w:bottom w:val="single" w:color="000000" w:sz="6" w:space="0"/>
            </w:tcBorders>
          </w:tcPr>
          <w:p>
            <w:pPr>
              <w:pStyle w:val="45"/>
              <w:spacing w:before="88"/>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679" w:type="dxa"/>
            <w:tcBorders>
              <w:top w:val="single" w:color="000000" w:sz="6" w:space="0"/>
              <w:bottom w:val="single" w:color="000000" w:sz="6" w:space="0"/>
              <w:right w:val="single" w:color="000000" w:sz="6" w:space="0"/>
            </w:tcBorders>
          </w:tcPr>
          <w:p>
            <w:pPr>
              <w:pStyle w:val="45"/>
              <w:spacing w:before="91"/>
              <w:ind w:left="181" w:right="73"/>
              <w:jc w:val="center"/>
              <w:rPr>
                <w:color w:val="auto"/>
                <w:sz w:val="18"/>
              </w:rPr>
            </w:pPr>
            <w:r>
              <w:rPr>
                <w:color w:val="auto"/>
                <w:sz w:val="18"/>
              </w:rPr>
              <w:t xml:space="preserve">2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91"/>
              <w:ind w:left="281" w:right="162"/>
              <w:jc w:val="center"/>
              <w:rPr>
                <w:color w:val="auto"/>
                <w:sz w:val="18"/>
              </w:rPr>
            </w:pPr>
            <w:r>
              <w:rPr>
                <w:color w:val="auto"/>
                <w:sz w:val="18"/>
              </w:rPr>
              <w:t xml:space="preserve">建设地点 </w:t>
            </w:r>
          </w:p>
        </w:tc>
        <w:tc>
          <w:tcPr>
            <w:tcW w:w="5511" w:type="dxa"/>
            <w:tcBorders>
              <w:top w:val="single" w:color="000000" w:sz="6" w:space="0"/>
              <w:left w:val="single" w:color="000000" w:sz="6" w:space="0"/>
              <w:bottom w:val="single" w:color="000000" w:sz="6" w:space="0"/>
            </w:tcBorders>
          </w:tcPr>
          <w:p>
            <w:pPr>
              <w:pStyle w:val="45"/>
              <w:spacing w:before="9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4" w:hRule="atLeast"/>
        </w:trPr>
        <w:tc>
          <w:tcPr>
            <w:tcW w:w="679" w:type="dxa"/>
            <w:tcBorders>
              <w:top w:val="single" w:color="000000" w:sz="6" w:space="0"/>
              <w:bottom w:val="single" w:color="000000" w:sz="6" w:space="0"/>
              <w:right w:val="single" w:color="000000" w:sz="6" w:space="0"/>
            </w:tcBorders>
          </w:tcPr>
          <w:p>
            <w:pPr>
              <w:pStyle w:val="45"/>
              <w:spacing w:before="35"/>
              <w:ind w:left="181" w:right="73"/>
              <w:jc w:val="center"/>
              <w:rPr>
                <w:color w:val="auto"/>
                <w:sz w:val="18"/>
              </w:rPr>
            </w:pPr>
            <w:r>
              <w:rPr>
                <w:color w:val="auto"/>
                <w:sz w:val="18"/>
              </w:rPr>
              <w:t xml:space="preserve">4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35"/>
              <w:ind w:left="281" w:right="162"/>
              <w:jc w:val="center"/>
              <w:rPr>
                <w:color w:val="auto"/>
                <w:sz w:val="18"/>
              </w:rPr>
            </w:pPr>
            <w:r>
              <w:rPr>
                <w:color w:val="auto"/>
                <w:sz w:val="18"/>
              </w:rPr>
              <w:t xml:space="preserve">面积 </w:t>
            </w:r>
          </w:p>
        </w:tc>
        <w:tc>
          <w:tcPr>
            <w:tcW w:w="5511" w:type="dxa"/>
            <w:tcBorders>
              <w:top w:val="single" w:color="000000" w:sz="6" w:space="0"/>
              <w:left w:val="single" w:color="000000" w:sz="6" w:space="0"/>
              <w:bottom w:val="single" w:color="000000" w:sz="6" w:space="0"/>
            </w:tcBorders>
          </w:tcPr>
          <w:p>
            <w:pPr>
              <w:pStyle w:val="45"/>
              <w:spacing w:before="35"/>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atLeast"/>
        </w:trPr>
        <w:tc>
          <w:tcPr>
            <w:tcW w:w="679" w:type="dxa"/>
            <w:tcBorders>
              <w:top w:val="single" w:color="000000" w:sz="6" w:space="0"/>
              <w:bottom w:val="single" w:color="000000" w:sz="6" w:space="0"/>
              <w:right w:val="single" w:color="000000" w:sz="6" w:space="0"/>
            </w:tcBorders>
          </w:tcPr>
          <w:p>
            <w:pPr>
              <w:pStyle w:val="45"/>
              <w:spacing w:before="91"/>
              <w:ind w:left="181" w:right="73"/>
              <w:jc w:val="center"/>
              <w:rPr>
                <w:color w:val="auto"/>
                <w:sz w:val="18"/>
              </w:rPr>
            </w:pPr>
            <w:r>
              <w:rPr>
                <w:color w:val="auto"/>
                <w:sz w:val="18"/>
              </w:rPr>
              <w:t xml:space="preserve">5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91"/>
              <w:ind w:left="281" w:right="162"/>
              <w:jc w:val="center"/>
              <w:rPr>
                <w:color w:val="auto"/>
                <w:sz w:val="18"/>
              </w:rPr>
            </w:pPr>
            <w:r>
              <w:rPr>
                <w:color w:val="auto"/>
                <w:sz w:val="18"/>
              </w:rPr>
              <w:t xml:space="preserve">要求质量标准 </w:t>
            </w:r>
          </w:p>
        </w:tc>
        <w:tc>
          <w:tcPr>
            <w:tcW w:w="5511" w:type="dxa"/>
            <w:tcBorders>
              <w:top w:val="single" w:color="000000" w:sz="6" w:space="0"/>
              <w:left w:val="single" w:color="000000" w:sz="6" w:space="0"/>
              <w:bottom w:val="single" w:color="000000" w:sz="6" w:space="0"/>
            </w:tcBorders>
          </w:tcPr>
          <w:p>
            <w:pPr>
              <w:pStyle w:val="45"/>
              <w:spacing w:before="9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79" w:type="dxa"/>
            <w:tcBorders>
              <w:top w:val="single" w:color="000000" w:sz="6" w:space="0"/>
              <w:bottom w:val="single" w:color="000000" w:sz="6" w:space="0"/>
              <w:right w:val="single" w:color="000000" w:sz="6" w:space="0"/>
            </w:tcBorders>
          </w:tcPr>
          <w:p>
            <w:pPr>
              <w:pStyle w:val="45"/>
              <w:spacing w:before="88"/>
              <w:ind w:left="181" w:right="73"/>
              <w:jc w:val="center"/>
              <w:rPr>
                <w:color w:val="auto"/>
                <w:sz w:val="18"/>
              </w:rPr>
            </w:pPr>
            <w:r>
              <w:rPr>
                <w:color w:val="auto"/>
                <w:sz w:val="18"/>
              </w:rPr>
              <w:t xml:space="preserve">6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承包方式 </w:t>
            </w:r>
          </w:p>
        </w:tc>
        <w:tc>
          <w:tcPr>
            <w:tcW w:w="5511" w:type="dxa"/>
            <w:tcBorders>
              <w:top w:val="single" w:color="000000" w:sz="6" w:space="0"/>
              <w:left w:val="single" w:color="000000" w:sz="6" w:space="0"/>
              <w:bottom w:val="single" w:color="000000" w:sz="6" w:space="0"/>
            </w:tcBorders>
          </w:tcPr>
          <w:p>
            <w:pPr>
              <w:pStyle w:val="45"/>
              <w:spacing w:before="88"/>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79" w:type="dxa"/>
            <w:tcBorders>
              <w:top w:val="single" w:color="000000" w:sz="6" w:space="0"/>
              <w:bottom w:val="single" w:color="000000" w:sz="6" w:space="0"/>
              <w:right w:val="single" w:color="000000" w:sz="6" w:space="0"/>
            </w:tcBorders>
          </w:tcPr>
          <w:p>
            <w:pPr>
              <w:pStyle w:val="45"/>
              <w:spacing w:before="88"/>
              <w:ind w:left="181" w:right="73"/>
              <w:jc w:val="center"/>
              <w:rPr>
                <w:color w:val="auto"/>
                <w:sz w:val="18"/>
              </w:rPr>
            </w:pPr>
            <w:r>
              <w:rPr>
                <w:color w:val="auto"/>
                <w:sz w:val="18"/>
              </w:rPr>
              <w:t xml:space="preserve">7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要求工期 </w:t>
            </w:r>
          </w:p>
        </w:tc>
        <w:tc>
          <w:tcPr>
            <w:tcW w:w="5511" w:type="dxa"/>
            <w:tcBorders>
              <w:top w:val="single" w:color="000000" w:sz="6" w:space="0"/>
              <w:left w:val="single" w:color="000000" w:sz="6" w:space="0"/>
              <w:bottom w:val="single" w:color="000000" w:sz="6" w:space="0"/>
            </w:tcBorders>
          </w:tcPr>
          <w:p>
            <w:pPr>
              <w:pStyle w:val="45"/>
              <w:spacing w:before="88"/>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679" w:type="dxa"/>
            <w:tcBorders>
              <w:top w:val="single" w:color="000000" w:sz="6" w:space="0"/>
              <w:bottom w:val="single" w:color="000000" w:sz="6" w:space="0"/>
              <w:right w:val="single" w:color="000000" w:sz="6" w:space="0"/>
            </w:tcBorders>
          </w:tcPr>
          <w:p>
            <w:pPr>
              <w:pStyle w:val="45"/>
              <w:spacing w:before="91"/>
              <w:ind w:left="181" w:right="73"/>
              <w:jc w:val="center"/>
              <w:rPr>
                <w:color w:val="auto"/>
                <w:sz w:val="18"/>
              </w:rPr>
            </w:pPr>
            <w:r>
              <w:rPr>
                <w:color w:val="auto"/>
                <w:sz w:val="18"/>
              </w:rPr>
              <w:t xml:space="preserve">8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91"/>
              <w:ind w:left="281" w:right="162"/>
              <w:jc w:val="center"/>
              <w:rPr>
                <w:color w:val="auto"/>
                <w:sz w:val="18"/>
              </w:rPr>
            </w:pPr>
            <w:r>
              <w:rPr>
                <w:color w:val="auto"/>
                <w:sz w:val="18"/>
              </w:rPr>
              <w:t xml:space="preserve">招标范围 </w:t>
            </w:r>
          </w:p>
        </w:tc>
        <w:tc>
          <w:tcPr>
            <w:tcW w:w="5511" w:type="dxa"/>
            <w:tcBorders>
              <w:top w:val="single" w:color="000000" w:sz="6" w:space="0"/>
              <w:left w:val="single" w:color="000000" w:sz="6" w:space="0"/>
              <w:bottom w:val="single" w:color="000000" w:sz="6" w:space="0"/>
            </w:tcBorders>
          </w:tcPr>
          <w:p>
            <w:pPr>
              <w:pStyle w:val="45"/>
              <w:spacing w:before="9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79" w:type="dxa"/>
            <w:tcBorders>
              <w:top w:val="single" w:color="000000" w:sz="6" w:space="0"/>
              <w:bottom w:val="single" w:color="000000" w:sz="6" w:space="0"/>
              <w:right w:val="single" w:color="000000" w:sz="6" w:space="0"/>
            </w:tcBorders>
          </w:tcPr>
          <w:p>
            <w:pPr>
              <w:pStyle w:val="45"/>
              <w:spacing w:before="88"/>
              <w:ind w:left="181" w:right="73"/>
              <w:jc w:val="center"/>
              <w:rPr>
                <w:color w:val="auto"/>
                <w:sz w:val="18"/>
              </w:rPr>
            </w:pPr>
            <w:r>
              <w:rPr>
                <w:color w:val="auto"/>
                <w:sz w:val="18"/>
              </w:rPr>
              <w:t xml:space="preserve">9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招标方式 </w:t>
            </w:r>
          </w:p>
        </w:tc>
        <w:tc>
          <w:tcPr>
            <w:tcW w:w="5511" w:type="dxa"/>
            <w:tcBorders>
              <w:top w:val="single" w:color="000000" w:sz="6" w:space="0"/>
              <w:left w:val="single" w:color="000000" w:sz="6" w:space="0"/>
              <w:bottom w:val="single" w:color="000000" w:sz="6" w:space="0"/>
            </w:tcBorders>
          </w:tcPr>
          <w:p>
            <w:pPr>
              <w:pStyle w:val="45"/>
              <w:spacing w:before="88"/>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79" w:type="dxa"/>
            <w:tcBorders>
              <w:top w:val="single" w:color="000000" w:sz="6" w:space="0"/>
              <w:bottom w:val="single" w:color="000000" w:sz="6" w:space="0"/>
              <w:right w:val="single" w:color="000000" w:sz="6" w:space="0"/>
            </w:tcBorders>
          </w:tcPr>
          <w:p>
            <w:pPr>
              <w:pStyle w:val="45"/>
              <w:spacing w:before="88"/>
              <w:ind w:left="179" w:right="73"/>
              <w:jc w:val="center"/>
              <w:rPr>
                <w:color w:val="auto"/>
                <w:sz w:val="18"/>
              </w:rPr>
            </w:pPr>
            <w:r>
              <w:rPr>
                <w:color w:val="auto"/>
                <w:sz w:val="18"/>
              </w:rPr>
              <w:t xml:space="preserve">10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投标文件递交地点 </w:t>
            </w:r>
          </w:p>
        </w:tc>
        <w:tc>
          <w:tcPr>
            <w:tcW w:w="5511" w:type="dxa"/>
            <w:tcBorders>
              <w:top w:val="single" w:color="000000" w:sz="6" w:space="0"/>
              <w:left w:val="single" w:color="000000" w:sz="6" w:space="0"/>
              <w:bottom w:val="single" w:color="000000" w:sz="6" w:space="0"/>
            </w:tcBorders>
          </w:tcPr>
          <w:p>
            <w:pPr>
              <w:pStyle w:val="45"/>
              <w:spacing w:before="88"/>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atLeast"/>
        </w:trPr>
        <w:tc>
          <w:tcPr>
            <w:tcW w:w="679" w:type="dxa"/>
            <w:tcBorders>
              <w:top w:val="single" w:color="000000" w:sz="6" w:space="0"/>
              <w:bottom w:val="single" w:color="000000" w:sz="6" w:space="0"/>
              <w:right w:val="single" w:color="000000" w:sz="6" w:space="0"/>
            </w:tcBorders>
          </w:tcPr>
          <w:p>
            <w:pPr>
              <w:pStyle w:val="45"/>
              <w:spacing w:before="91"/>
              <w:ind w:left="179" w:right="73"/>
              <w:jc w:val="center"/>
              <w:rPr>
                <w:color w:val="auto"/>
                <w:sz w:val="18"/>
              </w:rPr>
            </w:pPr>
            <w:r>
              <w:rPr>
                <w:color w:val="auto"/>
                <w:sz w:val="18"/>
              </w:rPr>
              <w:t xml:space="preserve">11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91"/>
              <w:ind w:left="281" w:right="162"/>
              <w:jc w:val="center"/>
              <w:rPr>
                <w:color w:val="auto"/>
                <w:sz w:val="18"/>
              </w:rPr>
            </w:pPr>
            <w:r>
              <w:rPr>
                <w:color w:val="auto"/>
                <w:sz w:val="18"/>
              </w:rPr>
              <w:t xml:space="preserve">投标截止时间 </w:t>
            </w:r>
          </w:p>
        </w:tc>
        <w:tc>
          <w:tcPr>
            <w:tcW w:w="5511" w:type="dxa"/>
            <w:tcBorders>
              <w:top w:val="single" w:color="000000" w:sz="6" w:space="0"/>
              <w:left w:val="single" w:color="000000" w:sz="6" w:space="0"/>
              <w:bottom w:val="single" w:color="000000" w:sz="6" w:space="0"/>
            </w:tcBorders>
          </w:tcPr>
          <w:p>
            <w:pPr>
              <w:pStyle w:val="45"/>
              <w:spacing w:before="9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679" w:type="dxa"/>
            <w:tcBorders>
              <w:top w:val="single" w:color="000000" w:sz="6" w:space="0"/>
              <w:bottom w:val="single" w:color="000000" w:sz="6" w:space="0"/>
              <w:right w:val="single" w:color="000000" w:sz="6" w:space="0"/>
            </w:tcBorders>
          </w:tcPr>
          <w:p>
            <w:pPr>
              <w:pStyle w:val="45"/>
              <w:spacing w:before="16"/>
              <w:ind w:left="179" w:right="73"/>
              <w:jc w:val="center"/>
              <w:rPr>
                <w:color w:val="auto"/>
                <w:sz w:val="18"/>
              </w:rPr>
            </w:pPr>
            <w:r>
              <w:rPr>
                <w:color w:val="auto"/>
                <w:sz w:val="18"/>
              </w:rPr>
              <w:t xml:space="preserve">12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16"/>
              <w:ind w:left="281" w:right="165"/>
              <w:jc w:val="center"/>
              <w:rPr>
                <w:color w:val="auto"/>
                <w:sz w:val="18"/>
              </w:rPr>
            </w:pPr>
            <w:r>
              <w:rPr>
                <w:color w:val="auto"/>
                <w:sz w:val="18"/>
              </w:rPr>
              <w:t xml:space="preserve">收到投标文件的数量 </w:t>
            </w:r>
          </w:p>
        </w:tc>
        <w:tc>
          <w:tcPr>
            <w:tcW w:w="5511" w:type="dxa"/>
            <w:tcBorders>
              <w:top w:val="single" w:color="000000" w:sz="6" w:space="0"/>
              <w:left w:val="single" w:color="000000" w:sz="6" w:space="0"/>
              <w:bottom w:val="single" w:color="000000" w:sz="6" w:space="0"/>
            </w:tcBorders>
          </w:tcPr>
          <w:p>
            <w:pPr>
              <w:pStyle w:val="45"/>
              <w:spacing w:before="16"/>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79" w:type="dxa"/>
            <w:tcBorders>
              <w:top w:val="single" w:color="000000" w:sz="6" w:space="0"/>
              <w:bottom w:val="single" w:color="000000" w:sz="6" w:space="0"/>
              <w:right w:val="single" w:color="000000" w:sz="6" w:space="0"/>
            </w:tcBorders>
          </w:tcPr>
          <w:p>
            <w:pPr>
              <w:pStyle w:val="45"/>
              <w:spacing w:before="5"/>
              <w:rPr>
                <w:color w:val="auto"/>
                <w:sz w:val="13"/>
              </w:rPr>
            </w:pPr>
          </w:p>
          <w:p>
            <w:pPr>
              <w:pStyle w:val="45"/>
              <w:spacing w:before="1"/>
              <w:ind w:left="179" w:right="73"/>
              <w:jc w:val="center"/>
              <w:rPr>
                <w:color w:val="auto"/>
                <w:sz w:val="18"/>
              </w:rPr>
            </w:pPr>
            <w:r>
              <w:rPr>
                <w:color w:val="auto"/>
                <w:sz w:val="18"/>
              </w:rPr>
              <w:t xml:space="preserve">13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line="228" w:lineRule="exact"/>
              <w:ind w:left="707"/>
              <w:rPr>
                <w:color w:val="auto"/>
                <w:sz w:val="18"/>
              </w:rPr>
            </w:pPr>
            <w:r>
              <w:rPr>
                <w:color w:val="auto"/>
                <w:sz w:val="18"/>
              </w:rPr>
              <w:t xml:space="preserve">开标时间 </w:t>
            </w:r>
          </w:p>
          <w:p>
            <w:pPr>
              <w:pStyle w:val="45"/>
              <w:spacing w:before="119"/>
              <w:ind w:left="707"/>
              <w:rPr>
                <w:color w:val="auto"/>
                <w:sz w:val="18"/>
              </w:rPr>
            </w:pPr>
            <w:r>
              <w:rPr>
                <w:color w:val="auto"/>
                <w:sz w:val="18"/>
              </w:rPr>
              <w:t xml:space="preserve">开标地址 </w:t>
            </w:r>
          </w:p>
        </w:tc>
        <w:tc>
          <w:tcPr>
            <w:tcW w:w="5511" w:type="dxa"/>
            <w:tcBorders>
              <w:top w:val="single" w:color="000000" w:sz="6" w:space="0"/>
              <w:left w:val="single" w:color="000000" w:sz="6" w:space="0"/>
              <w:bottom w:val="single" w:color="000000" w:sz="6" w:space="0"/>
            </w:tcBorders>
          </w:tcPr>
          <w:p>
            <w:pPr>
              <w:pStyle w:val="45"/>
              <w:spacing w:before="5"/>
              <w:rPr>
                <w:color w:val="auto"/>
                <w:sz w:val="13"/>
              </w:rPr>
            </w:pPr>
          </w:p>
          <w:p>
            <w:pPr>
              <w:pStyle w:val="45"/>
              <w:spacing w:before="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9" w:hRule="atLeast"/>
        </w:trPr>
        <w:tc>
          <w:tcPr>
            <w:tcW w:w="679" w:type="dxa"/>
            <w:tcBorders>
              <w:top w:val="single" w:color="000000" w:sz="6" w:space="0"/>
              <w:bottom w:val="single" w:color="000000" w:sz="6" w:space="0"/>
              <w:right w:val="single" w:color="000000" w:sz="6" w:space="0"/>
            </w:tcBorders>
          </w:tcPr>
          <w:p>
            <w:pPr>
              <w:pStyle w:val="45"/>
              <w:spacing w:line="228" w:lineRule="exact"/>
              <w:ind w:left="179" w:right="73"/>
              <w:jc w:val="center"/>
              <w:rPr>
                <w:color w:val="auto"/>
                <w:sz w:val="18"/>
              </w:rPr>
            </w:pPr>
            <w:r>
              <w:rPr>
                <w:color w:val="auto"/>
                <w:sz w:val="18"/>
              </w:rPr>
              <w:t xml:space="preserve">14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line="228" w:lineRule="exact"/>
              <w:ind w:left="281" w:right="162"/>
              <w:jc w:val="center"/>
              <w:rPr>
                <w:color w:val="auto"/>
                <w:sz w:val="18"/>
              </w:rPr>
            </w:pPr>
            <w:r>
              <w:rPr>
                <w:color w:val="auto"/>
                <w:sz w:val="18"/>
              </w:rPr>
              <w:t xml:space="preserve">资金来源 </w:t>
            </w:r>
          </w:p>
        </w:tc>
        <w:tc>
          <w:tcPr>
            <w:tcW w:w="5511" w:type="dxa"/>
            <w:tcBorders>
              <w:top w:val="single" w:color="000000" w:sz="6" w:space="0"/>
              <w:left w:val="single" w:color="000000" w:sz="6" w:space="0"/>
              <w:bottom w:val="single" w:color="000000" w:sz="6" w:space="0"/>
            </w:tcBorders>
          </w:tcPr>
          <w:p>
            <w:pPr>
              <w:pStyle w:val="45"/>
              <w:spacing w:line="228" w:lineRule="exact"/>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79" w:type="dxa"/>
            <w:tcBorders>
              <w:top w:val="single" w:color="000000" w:sz="6" w:space="0"/>
              <w:bottom w:val="single" w:color="000000" w:sz="6" w:space="0"/>
              <w:right w:val="single" w:color="000000" w:sz="6" w:space="0"/>
            </w:tcBorders>
          </w:tcPr>
          <w:p>
            <w:pPr>
              <w:pStyle w:val="45"/>
              <w:spacing w:before="5"/>
              <w:rPr>
                <w:color w:val="auto"/>
                <w:sz w:val="13"/>
              </w:rPr>
            </w:pPr>
          </w:p>
          <w:p>
            <w:pPr>
              <w:pStyle w:val="45"/>
              <w:spacing w:before="1"/>
              <w:ind w:left="179" w:right="73"/>
              <w:jc w:val="center"/>
              <w:rPr>
                <w:color w:val="auto"/>
                <w:sz w:val="18"/>
              </w:rPr>
            </w:pPr>
            <w:r>
              <w:rPr>
                <w:color w:val="auto"/>
                <w:sz w:val="18"/>
              </w:rPr>
              <w:t xml:space="preserve">15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line="228" w:lineRule="exact"/>
              <w:ind w:left="281" w:right="162"/>
              <w:jc w:val="center"/>
              <w:rPr>
                <w:color w:val="auto"/>
                <w:sz w:val="18"/>
              </w:rPr>
            </w:pPr>
            <w:r>
              <w:rPr>
                <w:color w:val="auto"/>
                <w:sz w:val="18"/>
              </w:rPr>
              <w:t xml:space="preserve">投标人和项目经理 </w:t>
            </w:r>
          </w:p>
          <w:p>
            <w:pPr>
              <w:pStyle w:val="45"/>
              <w:spacing w:before="119"/>
              <w:ind w:left="281" w:right="162"/>
              <w:jc w:val="center"/>
              <w:rPr>
                <w:color w:val="auto"/>
                <w:sz w:val="18"/>
              </w:rPr>
            </w:pPr>
            <w:r>
              <w:rPr>
                <w:color w:val="auto"/>
                <w:sz w:val="18"/>
              </w:rPr>
              <w:t xml:space="preserve">资质等级 </w:t>
            </w:r>
          </w:p>
        </w:tc>
        <w:tc>
          <w:tcPr>
            <w:tcW w:w="5511" w:type="dxa"/>
            <w:tcBorders>
              <w:top w:val="single" w:color="000000" w:sz="6" w:space="0"/>
              <w:left w:val="single" w:color="000000" w:sz="6" w:space="0"/>
              <w:bottom w:val="single" w:color="000000" w:sz="6" w:space="0"/>
            </w:tcBorders>
          </w:tcPr>
          <w:p>
            <w:pPr>
              <w:pStyle w:val="45"/>
              <w:spacing w:before="5"/>
              <w:rPr>
                <w:color w:val="auto"/>
                <w:sz w:val="13"/>
              </w:rPr>
            </w:pPr>
          </w:p>
          <w:p>
            <w:pPr>
              <w:pStyle w:val="45"/>
              <w:spacing w:before="1"/>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679" w:type="dxa"/>
            <w:tcBorders>
              <w:top w:val="single" w:color="000000" w:sz="6" w:space="0"/>
              <w:bottom w:val="single" w:color="000000" w:sz="6" w:space="0"/>
              <w:right w:val="single" w:color="000000" w:sz="6" w:space="0"/>
            </w:tcBorders>
          </w:tcPr>
          <w:p>
            <w:pPr>
              <w:pStyle w:val="45"/>
              <w:spacing w:before="40"/>
              <w:ind w:left="179" w:right="73"/>
              <w:jc w:val="center"/>
              <w:rPr>
                <w:color w:val="auto"/>
                <w:sz w:val="18"/>
              </w:rPr>
            </w:pPr>
            <w:r>
              <w:rPr>
                <w:color w:val="auto"/>
                <w:sz w:val="18"/>
              </w:rPr>
              <w:t xml:space="preserve">16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40"/>
              <w:ind w:left="281" w:right="162"/>
              <w:jc w:val="center"/>
              <w:rPr>
                <w:color w:val="auto"/>
                <w:sz w:val="18"/>
              </w:rPr>
            </w:pPr>
            <w:r>
              <w:rPr>
                <w:color w:val="auto"/>
                <w:sz w:val="18"/>
              </w:rPr>
              <w:t xml:space="preserve">投标保证 </w:t>
            </w:r>
          </w:p>
        </w:tc>
        <w:tc>
          <w:tcPr>
            <w:tcW w:w="5511" w:type="dxa"/>
            <w:tcBorders>
              <w:top w:val="single" w:color="000000" w:sz="6" w:space="0"/>
              <w:left w:val="single" w:color="000000" w:sz="6" w:space="0"/>
              <w:bottom w:val="single" w:color="000000" w:sz="6" w:space="0"/>
            </w:tcBorders>
          </w:tcPr>
          <w:p>
            <w:pPr>
              <w:pStyle w:val="45"/>
              <w:spacing w:before="40"/>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679" w:type="dxa"/>
            <w:tcBorders>
              <w:top w:val="single" w:color="000000" w:sz="6" w:space="0"/>
              <w:bottom w:val="single" w:color="000000" w:sz="6" w:space="0"/>
              <w:right w:val="single" w:color="000000" w:sz="6" w:space="0"/>
            </w:tcBorders>
          </w:tcPr>
          <w:p>
            <w:pPr>
              <w:pStyle w:val="45"/>
              <w:spacing w:before="57"/>
              <w:ind w:left="179" w:right="73"/>
              <w:jc w:val="center"/>
              <w:rPr>
                <w:color w:val="auto"/>
                <w:sz w:val="18"/>
              </w:rPr>
            </w:pPr>
            <w:r>
              <w:rPr>
                <w:color w:val="auto"/>
                <w:sz w:val="18"/>
              </w:rPr>
              <w:t xml:space="preserve">17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57"/>
              <w:ind w:left="281" w:right="165"/>
              <w:jc w:val="center"/>
              <w:rPr>
                <w:color w:val="auto"/>
                <w:sz w:val="18"/>
              </w:rPr>
            </w:pPr>
            <w:r>
              <w:rPr>
                <w:color w:val="auto"/>
                <w:sz w:val="18"/>
              </w:rPr>
              <w:t xml:space="preserve">投标有效期 </w:t>
            </w:r>
          </w:p>
        </w:tc>
        <w:tc>
          <w:tcPr>
            <w:tcW w:w="5511" w:type="dxa"/>
            <w:tcBorders>
              <w:top w:val="single" w:color="000000" w:sz="6" w:space="0"/>
              <w:left w:val="single" w:color="000000" w:sz="6" w:space="0"/>
              <w:bottom w:val="single" w:color="000000" w:sz="6" w:space="0"/>
            </w:tcBorders>
          </w:tcPr>
          <w:p>
            <w:pPr>
              <w:pStyle w:val="45"/>
              <w:spacing w:before="57"/>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679" w:type="dxa"/>
            <w:tcBorders>
              <w:top w:val="single" w:color="000000" w:sz="6" w:space="0"/>
              <w:bottom w:val="single" w:color="000000" w:sz="6" w:space="0"/>
              <w:right w:val="single" w:color="000000" w:sz="6" w:space="0"/>
            </w:tcBorders>
          </w:tcPr>
          <w:p>
            <w:pPr>
              <w:pStyle w:val="45"/>
              <w:spacing w:before="62"/>
              <w:ind w:left="179" w:right="73"/>
              <w:jc w:val="center"/>
              <w:rPr>
                <w:color w:val="auto"/>
                <w:sz w:val="18"/>
              </w:rPr>
            </w:pPr>
            <w:r>
              <w:rPr>
                <w:color w:val="auto"/>
                <w:sz w:val="18"/>
              </w:rPr>
              <w:t xml:space="preserve">18 </w:t>
            </w:r>
          </w:p>
        </w:tc>
        <w:tc>
          <w:tcPr>
            <w:tcW w:w="2122" w:type="dxa"/>
            <w:tcBorders>
              <w:top w:val="single" w:color="000000" w:sz="6" w:space="0"/>
              <w:left w:val="single" w:color="000000" w:sz="6" w:space="0"/>
              <w:bottom w:val="single" w:color="000000" w:sz="6" w:space="0"/>
              <w:right w:val="single" w:color="000000" w:sz="6" w:space="0"/>
            </w:tcBorders>
          </w:tcPr>
          <w:p>
            <w:pPr>
              <w:pStyle w:val="45"/>
              <w:spacing w:before="62"/>
              <w:ind w:left="281" w:right="162"/>
              <w:jc w:val="center"/>
              <w:rPr>
                <w:color w:val="auto"/>
                <w:sz w:val="18"/>
              </w:rPr>
            </w:pPr>
            <w:r>
              <w:rPr>
                <w:color w:val="auto"/>
                <w:sz w:val="18"/>
              </w:rPr>
              <w:t xml:space="preserve">投标文件份数 </w:t>
            </w:r>
          </w:p>
        </w:tc>
        <w:tc>
          <w:tcPr>
            <w:tcW w:w="5511" w:type="dxa"/>
            <w:tcBorders>
              <w:top w:val="single" w:color="000000" w:sz="6" w:space="0"/>
              <w:left w:val="single" w:color="000000" w:sz="6" w:space="0"/>
              <w:bottom w:val="single" w:color="000000" w:sz="6" w:space="0"/>
            </w:tcBorders>
          </w:tcPr>
          <w:p>
            <w:pPr>
              <w:pStyle w:val="45"/>
              <w:spacing w:before="62"/>
              <w:ind w:left="127"/>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trPr>
        <w:tc>
          <w:tcPr>
            <w:tcW w:w="679" w:type="dxa"/>
            <w:tcBorders>
              <w:top w:val="single" w:color="000000" w:sz="6" w:space="0"/>
              <w:right w:val="single" w:color="000000" w:sz="6" w:space="0"/>
            </w:tcBorders>
          </w:tcPr>
          <w:p>
            <w:pPr>
              <w:pStyle w:val="45"/>
              <w:spacing w:before="88"/>
              <w:ind w:left="179" w:right="73"/>
              <w:jc w:val="center"/>
              <w:rPr>
                <w:color w:val="auto"/>
                <w:sz w:val="18"/>
              </w:rPr>
            </w:pPr>
            <w:r>
              <w:rPr>
                <w:color w:val="auto"/>
                <w:sz w:val="18"/>
              </w:rPr>
              <w:t xml:space="preserve">20 </w:t>
            </w:r>
          </w:p>
        </w:tc>
        <w:tc>
          <w:tcPr>
            <w:tcW w:w="2122" w:type="dxa"/>
            <w:tcBorders>
              <w:top w:val="single" w:color="000000" w:sz="6" w:space="0"/>
              <w:left w:val="single" w:color="000000" w:sz="6" w:space="0"/>
              <w:right w:val="single" w:color="000000" w:sz="6" w:space="0"/>
            </w:tcBorders>
          </w:tcPr>
          <w:p>
            <w:pPr>
              <w:pStyle w:val="45"/>
              <w:spacing w:before="88"/>
              <w:ind w:left="281" w:right="162"/>
              <w:jc w:val="center"/>
              <w:rPr>
                <w:color w:val="auto"/>
                <w:sz w:val="18"/>
              </w:rPr>
            </w:pPr>
            <w:r>
              <w:rPr>
                <w:color w:val="auto"/>
                <w:sz w:val="18"/>
              </w:rPr>
              <w:t xml:space="preserve">评标办法 </w:t>
            </w:r>
          </w:p>
        </w:tc>
        <w:tc>
          <w:tcPr>
            <w:tcW w:w="5511" w:type="dxa"/>
            <w:tcBorders>
              <w:top w:val="single" w:color="000000" w:sz="6" w:space="0"/>
              <w:left w:val="single" w:color="000000" w:sz="6" w:space="0"/>
            </w:tcBorders>
          </w:tcPr>
          <w:p>
            <w:pPr>
              <w:pStyle w:val="45"/>
              <w:spacing w:before="88"/>
              <w:ind w:left="127"/>
              <w:jc w:val="center"/>
              <w:rPr>
                <w:color w:val="auto"/>
                <w:sz w:val="18"/>
              </w:rPr>
            </w:pPr>
            <w:r>
              <w:rPr>
                <w:color w:val="auto"/>
                <w:sz w:val="18"/>
              </w:rPr>
              <w:t xml:space="preserve"> </w:t>
            </w:r>
          </w:p>
        </w:tc>
      </w:tr>
    </w:tbl>
    <w:p>
      <w:pPr>
        <w:jc w:val="center"/>
        <w:rPr>
          <w:color w:val="auto"/>
          <w:sz w:val="18"/>
        </w:rPr>
        <w:sectPr>
          <w:pgSz w:w="11900" w:h="16840"/>
          <w:pgMar w:top="1360" w:right="1020" w:bottom="1200" w:left="1180" w:header="109" w:footer="1002" w:gutter="0"/>
          <w:cols w:space="720" w:num="1"/>
        </w:sectPr>
      </w:pPr>
    </w:p>
    <w:p>
      <w:pPr>
        <w:pStyle w:val="8"/>
        <w:rPr>
          <w:color w:val="auto"/>
          <w:sz w:val="20"/>
        </w:rPr>
      </w:pPr>
    </w:p>
    <w:p>
      <w:pPr>
        <w:pStyle w:val="8"/>
        <w:rPr>
          <w:color w:val="auto"/>
          <w:sz w:val="20"/>
        </w:rPr>
      </w:pPr>
    </w:p>
    <w:p>
      <w:pPr>
        <w:pStyle w:val="8"/>
        <w:rPr>
          <w:color w:val="auto"/>
          <w:sz w:val="20"/>
        </w:rPr>
      </w:pPr>
    </w:p>
    <w:p>
      <w:pPr>
        <w:pStyle w:val="8"/>
        <w:spacing w:before="5"/>
        <w:rPr>
          <w:color w:val="auto"/>
        </w:rPr>
      </w:pPr>
    </w:p>
    <w:p>
      <w:pPr>
        <w:pStyle w:val="5"/>
        <w:ind w:left="240"/>
        <w:rPr>
          <w:color w:val="auto"/>
        </w:rPr>
      </w:pPr>
      <w:bookmarkStart w:id="83" w:name="附表3-2：评标委员会签到表"/>
      <w:bookmarkEnd w:id="83"/>
      <w:r>
        <w:rPr>
          <w:color w:val="auto"/>
        </w:rPr>
        <w:t>附表3-2：评标委员会签到表</w:t>
      </w:r>
    </w:p>
    <w:p>
      <w:pPr>
        <w:pStyle w:val="8"/>
        <w:spacing w:before="12"/>
        <w:rPr>
          <w:color w:val="auto"/>
          <w:sz w:val="16"/>
        </w:rPr>
      </w:pPr>
    </w:p>
    <w:p>
      <w:pPr>
        <w:spacing w:before="62"/>
        <w:ind w:left="6361" w:right="5798"/>
        <w:jc w:val="center"/>
        <w:rPr>
          <w:color w:val="auto"/>
          <w:sz w:val="28"/>
        </w:rPr>
      </w:pPr>
      <w:r>
        <w:rPr>
          <w:color w:val="auto"/>
          <w:sz w:val="28"/>
        </w:rPr>
        <w:t>评标委员会签到表</w:t>
      </w:r>
    </w:p>
    <w:p>
      <w:pPr>
        <w:pStyle w:val="8"/>
        <w:spacing w:before="11"/>
        <w:rPr>
          <w:color w:val="auto"/>
          <w:sz w:val="23"/>
        </w:rPr>
      </w:pPr>
    </w:p>
    <w:p>
      <w:pPr>
        <w:ind w:left="660"/>
        <w:rPr>
          <w:color w:val="auto"/>
        </w:rPr>
      </w:pPr>
      <w:r>
        <w:rPr>
          <w:color w:val="auto"/>
        </w:rPr>
        <w:t xml:space="preserve">工 程 名 称 ：（ 项 目 名 称 ） 评 标 时 间 ： </w:t>
      </w:r>
      <w:r>
        <w:rPr>
          <w:rFonts w:hint="eastAsia"/>
          <w:color w:val="auto"/>
          <w:lang w:val="en-US" w:eastAsia="zh-CN"/>
        </w:rPr>
        <w:t xml:space="preserve">                                                                </w:t>
      </w:r>
      <w:r>
        <w:rPr>
          <w:color w:val="auto"/>
        </w:rPr>
        <w:t xml:space="preserve">年 月 日 </w:t>
      </w:r>
    </w:p>
    <w:p>
      <w:pPr>
        <w:pStyle w:val="8"/>
        <w:spacing w:before="1"/>
        <w:rPr>
          <w:color w:val="auto"/>
          <w:sz w:val="17"/>
        </w:rPr>
      </w:pPr>
    </w:p>
    <w:tbl>
      <w:tblPr>
        <w:tblStyle w:val="16"/>
        <w:tblW w:w="14177" w:type="dxa"/>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8"/>
        <w:gridCol w:w="1908"/>
        <w:gridCol w:w="1517"/>
        <w:gridCol w:w="1502"/>
        <w:gridCol w:w="3766"/>
        <w:gridCol w:w="2773"/>
        <w:gridCol w:w="19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7" w:hRule="atLeast"/>
        </w:trPr>
        <w:tc>
          <w:tcPr>
            <w:tcW w:w="788" w:type="dxa"/>
            <w:tcBorders>
              <w:bottom w:val="single" w:color="000000" w:sz="4" w:space="0"/>
              <w:right w:val="single" w:color="000000" w:sz="4" w:space="0"/>
            </w:tcBorders>
          </w:tcPr>
          <w:p>
            <w:pPr>
              <w:pStyle w:val="45"/>
              <w:spacing w:before="11"/>
              <w:rPr>
                <w:color w:val="auto"/>
                <w:sz w:val="13"/>
              </w:rPr>
            </w:pPr>
          </w:p>
          <w:p>
            <w:pPr>
              <w:pStyle w:val="45"/>
              <w:ind w:left="238" w:right="130"/>
              <w:jc w:val="center"/>
              <w:rPr>
                <w:color w:val="auto"/>
                <w:sz w:val="18"/>
              </w:rPr>
            </w:pPr>
            <w:r>
              <w:rPr>
                <w:color w:val="auto"/>
                <w:sz w:val="18"/>
              </w:rPr>
              <w:t xml:space="preserve">序号 </w:t>
            </w:r>
          </w:p>
        </w:tc>
        <w:tc>
          <w:tcPr>
            <w:tcW w:w="1908" w:type="dxa"/>
            <w:tcBorders>
              <w:left w:val="single" w:color="000000" w:sz="4" w:space="0"/>
              <w:bottom w:val="single" w:color="000000" w:sz="4" w:space="0"/>
              <w:right w:val="single" w:color="000000" w:sz="4" w:space="0"/>
            </w:tcBorders>
          </w:tcPr>
          <w:p>
            <w:pPr>
              <w:pStyle w:val="45"/>
              <w:spacing w:before="11"/>
              <w:rPr>
                <w:color w:val="auto"/>
                <w:sz w:val="13"/>
              </w:rPr>
            </w:pPr>
          </w:p>
          <w:p>
            <w:pPr>
              <w:pStyle w:val="45"/>
              <w:ind w:left="804" w:right="694"/>
              <w:jc w:val="center"/>
              <w:rPr>
                <w:color w:val="auto"/>
                <w:sz w:val="18"/>
              </w:rPr>
            </w:pPr>
            <w:r>
              <w:rPr>
                <w:color w:val="auto"/>
                <w:sz w:val="18"/>
              </w:rPr>
              <w:t xml:space="preserve">姓名 </w:t>
            </w:r>
          </w:p>
        </w:tc>
        <w:tc>
          <w:tcPr>
            <w:tcW w:w="1517" w:type="dxa"/>
            <w:tcBorders>
              <w:left w:val="single" w:color="000000" w:sz="4" w:space="0"/>
              <w:bottom w:val="single" w:color="000000" w:sz="4" w:space="0"/>
              <w:right w:val="single" w:color="000000" w:sz="4" w:space="0"/>
            </w:tcBorders>
          </w:tcPr>
          <w:p>
            <w:pPr>
              <w:pStyle w:val="45"/>
              <w:spacing w:before="11"/>
              <w:rPr>
                <w:color w:val="auto"/>
                <w:sz w:val="13"/>
              </w:rPr>
            </w:pPr>
          </w:p>
          <w:p>
            <w:pPr>
              <w:pStyle w:val="45"/>
              <w:ind w:left="610" w:right="497"/>
              <w:jc w:val="center"/>
              <w:rPr>
                <w:color w:val="auto"/>
                <w:sz w:val="18"/>
              </w:rPr>
            </w:pPr>
            <w:r>
              <w:rPr>
                <w:color w:val="auto"/>
                <w:sz w:val="18"/>
              </w:rPr>
              <w:t xml:space="preserve">职称 </w:t>
            </w:r>
          </w:p>
        </w:tc>
        <w:tc>
          <w:tcPr>
            <w:tcW w:w="1502" w:type="dxa"/>
            <w:tcBorders>
              <w:left w:val="single" w:color="000000" w:sz="4" w:space="0"/>
              <w:bottom w:val="single" w:color="000000" w:sz="4" w:space="0"/>
              <w:right w:val="single" w:color="000000" w:sz="4" w:space="0"/>
            </w:tcBorders>
          </w:tcPr>
          <w:p>
            <w:pPr>
              <w:pStyle w:val="45"/>
              <w:spacing w:before="11"/>
              <w:rPr>
                <w:color w:val="auto"/>
                <w:sz w:val="13"/>
              </w:rPr>
            </w:pPr>
          </w:p>
          <w:p>
            <w:pPr>
              <w:pStyle w:val="45"/>
              <w:ind w:left="425" w:right="306"/>
              <w:jc w:val="center"/>
              <w:rPr>
                <w:color w:val="auto"/>
                <w:sz w:val="18"/>
              </w:rPr>
            </w:pPr>
            <w:r>
              <w:rPr>
                <w:color w:val="auto"/>
                <w:sz w:val="18"/>
              </w:rPr>
              <w:t xml:space="preserve">专业类别 </w:t>
            </w:r>
          </w:p>
        </w:tc>
        <w:tc>
          <w:tcPr>
            <w:tcW w:w="3766" w:type="dxa"/>
            <w:tcBorders>
              <w:left w:val="single" w:color="000000" w:sz="4" w:space="0"/>
              <w:bottom w:val="single" w:color="000000" w:sz="4" w:space="0"/>
              <w:right w:val="single" w:color="000000" w:sz="4" w:space="0"/>
            </w:tcBorders>
          </w:tcPr>
          <w:p>
            <w:pPr>
              <w:pStyle w:val="45"/>
              <w:spacing w:before="11"/>
              <w:rPr>
                <w:color w:val="auto"/>
                <w:sz w:val="13"/>
              </w:rPr>
            </w:pPr>
          </w:p>
          <w:p>
            <w:pPr>
              <w:pStyle w:val="45"/>
              <w:ind w:left="1556" w:right="1439"/>
              <w:jc w:val="center"/>
              <w:rPr>
                <w:color w:val="auto"/>
                <w:sz w:val="18"/>
              </w:rPr>
            </w:pPr>
            <w:r>
              <w:rPr>
                <w:color w:val="auto"/>
                <w:sz w:val="18"/>
              </w:rPr>
              <w:t xml:space="preserve">工作单位 </w:t>
            </w:r>
          </w:p>
        </w:tc>
        <w:tc>
          <w:tcPr>
            <w:tcW w:w="2773" w:type="dxa"/>
            <w:tcBorders>
              <w:left w:val="single" w:color="000000" w:sz="4" w:space="0"/>
              <w:bottom w:val="single" w:color="000000" w:sz="4" w:space="0"/>
              <w:right w:val="single" w:color="000000" w:sz="4" w:space="0"/>
            </w:tcBorders>
          </w:tcPr>
          <w:p>
            <w:pPr>
              <w:pStyle w:val="45"/>
              <w:spacing w:before="11"/>
              <w:rPr>
                <w:color w:val="auto"/>
                <w:sz w:val="13"/>
              </w:rPr>
            </w:pPr>
          </w:p>
          <w:p>
            <w:pPr>
              <w:pStyle w:val="45"/>
              <w:ind w:left="1059" w:right="943"/>
              <w:jc w:val="center"/>
              <w:rPr>
                <w:color w:val="auto"/>
                <w:sz w:val="18"/>
              </w:rPr>
            </w:pPr>
            <w:r>
              <w:rPr>
                <w:color w:val="auto"/>
                <w:sz w:val="18"/>
              </w:rPr>
              <w:t xml:space="preserve">签到时间 </w:t>
            </w:r>
          </w:p>
        </w:tc>
        <w:tc>
          <w:tcPr>
            <w:tcW w:w="1923" w:type="dxa"/>
            <w:tcBorders>
              <w:left w:val="single" w:color="000000" w:sz="4" w:space="0"/>
              <w:bottom w:val="single" w:color="000000" w:sz="4" w:space="0"/>
            </w:tcBorders>
          </w:tcPr>
          <w:p>
            <w:pPr>
              <w:pStyle w:val="45"/>
              <w:spacing w:before="11"/>
              <w:rPr>
                <w:color w:val="auto"/>
                <w:sz w:val="13"/>
              </w:rPr>
            </w:pPr>
          </w:p>
          <w:p>
            <w:pPr>
              <w:pStyle w:val="45"/>
              <w:ind w:left="634" w:right="509"/>
              <w:jc w:val="center"/>
              <w:rPr>
                <w:color w:val="auto"/>
                <w:sz w:val="18"/>
              </w:rPr>
            </w:pPr>
            <w:r>
              <w:rPr>
                <w:color w:val="auto"/>
                <w:sz w:val="18"/>
              </w:rPr>
              <w:t xml:space="preserve">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788" w:type="dxa"/>
            <w:tcBorders>
              <w:top w:val="single" w:color="000000" w:sz="4" w:space="0"/>
              <w:bottom w:val="single" w:color="000000" w:sz="4" w:space="0"/>
              <w:right w:val="single" w:color="000000" w:sz="4" w:space="0"/>
            </w:tcBorders>
          </w:tcPr>
          <w:p>
            <w:pPr>
              <w:pStyle w:val="45"/>
              <w:spacing w:before="7"/>
              <w:rPr>
                <w:color w:val="auto"/>
                <w:sz w:val="14"/>
              </w:rPr>
            </w:pPr>
          </w:p>
          <w:p>
            <w:pPr>
              <w:pStyle w:val="45"/>
              <w:ind w:left="238" w:right="130"/>
              <w:jc w:val="center"/>
              <w:rPr>
                <w:color w:val="auto"/>
                <w:sz w:val="18"/>
              </w:rPr>
            </w:pPr>
            <w:r>
              <w:rPr>
                <w:color w:val="auto"/>
                <w:sz w:val="18"/>
              </w:rPr>
              <w:t xml:space="preserve">1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7"/>
              <w:rPr>
                <w:color w:val="auto"/>
                <w:sz w:val="14"/>
              </w:rPr>
            </w:pPr>
          </w:p>
          <w:p>
            <w:pPr>
              <w:pStyle w:val="45"/>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788" w:type="dxa"/>
            <w:tcBorders>
              <w:top w:val="single" w:color="000000" w:sz="4" w:space="0"/>
              <w:bottom w:val="single" w:color="000000" w:sz="4" w:space="0"/>
              <w:right w:val="single" w:color="000000" w:sz="4" w:space="0"/>
            </w:tcBorders>
          </w:tcPr>
          <w:p>
            <w:pPr>
              <w:pStyle w:val="45"/>
              <w:spacing w:before="7"/>
              <w:rPr>
                <w:color w:val="auto"/>
                <w:sz w:val="14"/>
              </w:rPr>
            </w:pPr>
          </w:p>
          <w:p>
            <w:pPr>
              <w:pStyle w:val="45"/>
              <w:ind w:left="238" w:right="130"/>
              <w:jc w:val="center"/>
              <w:rPr>
                <w:color w:val="auto"/>
                <w:sz w:val="18"/>
              </w:rPr>
            </w:pPr>
            <w:r>
              <w:rPr>
                <w:color w:val="auto"/>
                <w:sz w:val="18"/>
              </w:rPr>
              <w:t xml:space="preserve">2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7"/>
              <w:rPr>
                <w:color w:val="auto"/>
                <w:sz w:val="14"/>
              </w:rPr>
            </w:pPr>
          </w:p>
          <w:p>
            <w:pPr>
              <w:pStyle w:val="45"/>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trPr>
        <w:tc>
          <w:tcPr>
            <w:tcW w:w="788" w:type="dxa"/>
            <w:tcBorders>
              <w:top w:val="single" w:color="000000" w:sz="4" w:space="0"/>
              <w:bottom w:val="single" w:color="000000" w:sz="4" w:space="0"/>
              <w:right w:val="single" w:color="000000" w:sz="4" w:space="0"/>
            </w:tcBorders>
          </w:tcPr>
          <w:p>
            <w:pPr>
              <w:pStyle w:val="45"/>
              <w:spacing w:before="7"/>
              <w:rPr>
                <w:color w:val="auto"/>
                <w:sz w:val="14"/>
              </w:rPr>
            </w:pPr>
          </w:p>
          <w:p>
            <w:pPr>
              <w:pStyle w:val="45"/>
              <w:ind w:left="238" w:right="130"/>
              <w:jc w:val="center"/>
              <w:rPr>
                <w:color w:val="auto"/>
                <w:sz w:val="18"/>
              </w:rPr>
            </w:pPr>
            <w:r>
              <w:rPr>
                <w:color w:val="auto"/>
                <w:sz w:val="18"/>
              </w:rPr>
              <w:t xml:space="preserve">3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4"/>
              </w:rPr>
            </w:pPr>
          </w:p>
          <w:p>
            <w:pPr>
              <w:pStyle w:val="45"/>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7"/>
              <w:rPr>
                <w:color w:val="auto"/>
                <w:sz w:val="14"/>
              </w:rPr>
            </w:pPr>
          </w:p>
          <w:p>
            <w:pPr>
              <w:pStyle w:val="45"/>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88" w:type="dxa"/>
            <w:tcBorders>
              <w:top w:val="single" w:color="000000" w:sz="4" w:space="0"/>
              <w:bottom w:val="single" w:color="000000" w:sz="4" w:space="0"/>
              <w:right w:val="single" w:color="000000" w:sz="4" w:space="0"/>
            </w:tcBorders>
          </w:tcPr>
          <w:p>
            <w:pPr>
              <w:pStyle w:val="45"/>
              <w:spacing w:before="79"/>
              <w:ind w:left="238" w:right="130"/>
              <w:jc w:val="center"/>
              <w:rPr>
                <w:color w:val="auto"/>
                <w:sz w:val="18"/>
              </w:rPr>
            </w:pPr>
            <w:r>
              <w:rPr>
                <w:color w:val="auto"/>
                <w:sz w:val="18"/>
              </w:rPr>
              <w:t xml:space="preserve">4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79"/>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79"/>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79"/>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79"/>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79"/>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6" w:hRule="atLeast"/>
        </w:trPr>
        <w:tc>
          <w:tcPr>
            <w:tcW w:w="788" w:type="dxa"/>
            <w:tcBorders>
              <w:top w:val="single" w:color="000000" w:sz="4" w:space="0"/>
              <w:bottom w:val="single" w:color="000000" w:sz="4" w:space="0"/>
              <w:right w:val="single" w:color="000000" w:sz="4" w:space="0"/>
            </w:tcBorders>
          </w:tcPr>
          <w:p>
            <w:pPr>
              <w:pStyle w:val="45"/>
              <w:spacing w:before="127"/>
              <w:ind w:left="238" w:right="130"/>
              <w:jc w:val="center"/>
              <w:rPr>
                <w:color w:val="auto"/>
                <w:sz w:val="18"/>
              </w:rPr>
            </w:pPr>
            <w:r>
              <w:rPr>
                <w:color w:val="auto"/>
                <w:sz w:val="18"/>
              </w:rPr>
              <w:t xml:space="preserve">5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127"/>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127"/>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127"/>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127"/>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127"/>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7" w:hRule="atLeast"/>
        </w:trPr>
        <w:tc>
          <w:tcPr>
            <w:tcW w:w="788" w:type="dxa"/>
            <w:tcBorders>
              <w:top w:val="single" w:color="000000" w:sz="4" w:space="0"/>
              <w:bottom w:val="single" w:color="000000" w:sz="4" w:space="0"/>
              <w:right w:val="single" w:color="000000" w:sz="4" w:space="0"/>
            </w:tcBorders>
          </w:tcPr>
          <w:p>
            <w:pPr>
              <w:pStyle w:val="45"/>
              <w:spacing w:before="112"/>
              <w:ind w:left="238" w:right="130"/>
              <w:jc w:val="center"/>
              <w:rPr>
                <w:color w:val="auto"/>
                <w:sz w:val="18"/>
              </w:rPr>
            </w:pPr>
            <w:r>
              <w:rPr>
                <w:color w:val="auto"/>
                <w:sz w:val="18"/>
              </w:rPr>
              <w:t xml:space="preserve">6 </w:t>
            </w:r>
          </w:p>
        </w:tc>
        <w:tc>
          <w:tcPr>
            <w:tcW w:w="1908" w:type="dxa"/>
            <w:tcBorders>
              <w:top w:val="single" w:color="000000" w:sz="4" w:space="0"/>
              <w:left w:val="single" w:color="000000" w:sz="4" w:space="0"/>
              <w:bottom w:val="single" w:color="000000" w:sz="4" w:space="0"/>
              <w:right w:val="single" w:color="000000" w:sz="4" w:space="0"/>
            </w:tcBorders>
          </w:tcPr>
          <w:p>
            <w:pPr>
              <w:pStyle w:val="45"/>
              <w:spacing w:before="112"/>
              <w:ind w:left="110"/>
              <w:jc w:val="center"/>
              <w:rPr>
                <w:color w:val="auto"/>
                <w:sz w:val="18"/>
              </w:rPr>
            </w:pPr>
            <w:r>
              <w:rPr>
                <w:color w:val="auto"/>
                <w:sz w:val="18"/>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bottom w:val="single" w:color="000000" w:sz="4" w:space="0"/>
              <w:right w:val="single" w:color="000000" w:sz="4" w:space="0"/>
            </w:tcBorders>
          </w:tcPr>
          <w:p>
            <w:pPr>
              <w:pStyle w:val="45"/>
              <w:spacing w:before="112"/>
              <w:ind w:left="119"/>
              <w:jc w:val="center"/>
              <w:rPr>
                <w:color w:val="auto"/>
                <w:sz w:val="18"/>
              </w:rPr>
            </w:pPr>
            <w:r>
              <w:rPr>
                <w:color w:val="auto"/>
                <w:sz w:val="18"/>
              </w:rPr>
              <w:t xml:space="preserve"> </w:t>
            </w:r>
          </w:p>
        </w:tc>
        <w:tc>
          <w:tcPr>
            <w:tcW w:w="3766" w:type="dxa"/>
            <w:tcBorders>
              <w:top w:val="single" w:color="000000" w:sz="4" w:space="0"/>
              <w:left w:val="single" w:color="000000" w:sz="4" w:space="0"/>
              <w:bottom w:val="single" w:color="000000" w:sz="4" w:space="0"/>
              <w:right w:val="single" w:color="000000" w:sz="4" w:space="0"/>
            </w:tcBorders>
          </w:tcPr>
          <w:p>
            <w:pPr>
              <w:pStyle w:val="45"/>
              <w:spacing w:before="112"/>
              <w:ind w:left="117"/>
              <w:jc w:val="center"/>
              <w:rPr>
                <w:color w:val="auto"/>
                <w:sz w:val="18"/>
              </w:rPr>
            </w:pPr>
            <w:r>
              <w:rPr>
                <w:color w:val="auto"/>
                <w:sz w:val="18"/>
              </w:rPr>
              <w:t xml:space="preserve"> </w:t>
            </w:r>
          </w:p>
        </w:tc>
        <w:tc>
          <w:tcPr>
            <w:tcW w:w="2773" w:type="dxa"/>
            <w:tcBorders>
              <w:top w:val="single" w:color="000000" w:sz="4" w:space="0"/>
              <w:left w:val="single" w:color="000000" w:sz="4" w:space="0"/>
              <w:bottom w:val="single" w:color="000000" w:sz="4" w:space="0"/>
              <w:right w:val="single" w:color="000000" w:sz="4" w:space="0"/>
            </w:tcBorders>
          </w:tcPr>
          <w:p>
            <w:pPr>
              <w:pStyle w:val="45"/>
              <w:spacing w:before="112"/>
              <w:ind w:left="116"/>
              <w:jc w:val="center"/>
              <w:rPr>
                <w:color w:val="auto"/>
                <w:sz w:val="18"/>
              </w:rPr>
            </w:pPr>
            <w:r>
              <w:rPr>
                <w:color w:val="auto"/>
                <w:sz w:val="18"/>
              </w:rPr>
              <w:t xml:space="preserve"> </w:t>
            </w:r>
          </w:p>
        </w:tc>
        <w:tc>
          <w:tcPr>
            <w:tcW w:w="1923" w:type="dxa"/>
            <w:tcBorders>
              <w:top w:val="single" w:color="000000" w:sz="4" w:space="0"/>
              <w:left w:val="single" w:color="000000" w:sz="4" w:space="0"/>
              <w:bottom w:val="single" w:color="000000" w:sz="4" w:space="0"/>
            </w:tcBorders>
          </w:tcPr>
          <w:p>
            <w:pPr>
              <w:pStyle w:val="45"/>
              <w:spacing w:before="112"/>
              <w:ind w:left="125"/>
              <w:jc w:val="center"/>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788" w:type="dxa"/>
            <w:tcBorders>
              <w:top w:val="single" w:color="000000" w:sz="4" w:space="0"/>
              <w:left w:val="single" w:color="000000" w:sz="4" w:space="0"/>
              <w:right w:val="single" w:color="000000" w:sz="4" w:space="0"/>
            </w:tcBorders>
          </w:tcPr>
          <w:p>
            <w:pPr>
              <w:pStyle w:val="45"/>
              <w:spacing w:before="93"/>
              <w:ind w:left="383" w:right="265"/>
              <w:jc w:val="center"/>
              <w:rPr>
                <w:color w:val="auto"/>
                <w:sz w:val="18"/>
              </w:rPr>
            </w:pPr>
            <w:r>
              <w:rPr>
                <w:color w:val="auto"/>
                <w:sz w:val="18"/>
              </w:rPr>
              <w:t xml:space="preserve">7 </w:t>
            </w:r>
          </w:p>
        </w:tc>
        <w:tc>
          <w:tcPr>
            <w:tcW w:w="1908" w:type="dxa"/>
            <w:tcBorders>
              <w:top w:val="single" w:color="000000" w:sz="4" w:space="0"/>
              <w:left w:val="single" w:color="000000" w:sz="4" w:space="0"/>
              <w:right w:val="single" w:color="000000" w:sz="4" w:space="0"/>
            </w:tcBorders>
          </w:tcPr>
          <w:p>
            <w:pPr>
              <w:pStyle w:val="45"/>
              <w:spacing w:before="93"/>
              <w:ind w:left="110"/>
              <w:jc w:val="center"/>
              <w:rPr>
                <w:color w:val="auto"/>
                <w:sz w:val="18"/>
              </w:rPr>
            </w:pPr>
            <w:r>
              <w:rPr>
                <w:color w:val="auto"/>
                <w:sz w:val="18"/>
              </w:rPr>
              <w:t xml:space="preserve"> </w:t>
            </w:r>
          </w:p>
        </w:tc>
        <w:tc>
          <w:tcPr>
            <w:tcW w:w="1517" w:type="dxa"/>
            <w:tcBorders>
              <w:top w:val="single" w:color="000000" w:sz="4" w:space="0"/>
              <w:left w:val="single" w:color="000000" w:sz="4" w:space="0"/>
              <w:right w:val="single" w:color="000000" w:sz="4" w:space="0"/>
            </w:tcBorders>
          </w:tcPr>
          <w:p>
            <w:pPr>
              <w:pStyle w:val="45"/>
              <w:spacing w:line="228" w:lineRule="exact"/>
              <w:ind w:left="113"/>
              <w:jc w:val="center"/>
              <w:rPr>
                <w:color w:val="auto"/>
                <w:sz w:val="18"/>
              </w:rPr>
            </w:pPr>
            <w:r>
              <w:rPr>
                <w:color w:val="auto"/>
                <w:sz w:val="18"/>
              </w:rPr>
              <w:t xml:space="preserve"> </w:t>
            </w:r>
          </w:p>
        </w:tc>
        <w:tc>
          <w:tcPr>
            <w:tcW w:w="1502" w:type="dxa"/>
            <w:tcBorders>
              <w:top w:val="single" w:color="000000" w:sz="4" w:space="0"/>
              <w:left w:val="single" w:color="000000" w:sz="4" w:space="0"/>
              <w:right w:val="single" w:color="000000" w:sz="4" w:space="0"/>
            </w:tcBorders>
          </w:tcPr>
          <w:p>
            <w:pPr>
              <w:pStyle w:val="45"/>
              <w:spacing w:before="93"/>
              <w:ind w:left="119"/>
              <w:jc w:val="center"/>
              <w:rPr>
                <w:color w:val="auto"/>
                <w:sz w:val="18"/>
              </w:rPr>
            </w:pPr>
            <w:r>
              <w:rPr>
                <w:color w:val="auto"/>
                <w:sz w:val="18"/>
              </w:rPr>
              <w:t xml:space="preserve"> </w:t>
            </w:r>
          </w:p>
        </w:tc>
        <w:tc>
          <w:tcPr>
            <w:tcW w:w="3766" w:type="dxa"/>
            <w:tcBorders>
              <w:top w:val="single" w:color="000000" w:sz="4" w:space="0"/>
              <w:left w:val="single" w:color="000000" w:sz="4" w:space="0"/>
              <w:right w:val="single" w:color="000000" w:sz="4" w:space="0"/>
            </w:tcBorders>
          </w:tcPr>
          <w:p>
            <w:pPr>
              <w:pStyle w:val="45"/>
              <w:spacing w:before="93"/>
              <w:ind w:left="117"/>
              <w:jc w:val="center"/>
              <w:rPr>
                <w:color w:val="auto"/>
                <w:sz w:val="18"/>
              </w:rPr>
            </w:pPr>
            <w:r>
              <w:rPr>
                <w:color w:val="auto"/>
                <w:sz w:val="18"/>
              </w:rPr>
              <w:t xml:space="preserve"> </w:t>
            </w:r>
          </w:p>
        </w:tc>
        <w:tc>
          <w:tcPr>
            <w:tcW w:w="2773" w:type="dxa"/>
            <w:tcBorders>
              <w:top w:val="single" w:color="000000" w:sz="4" w:space="0"/>
              <w:left w:val="single" w:color="000000" w:sz="4" w:space="0"/>
              <w:right w:val="single" w:color="000000" w:sz="4" w:space="0"/>
            </w:tcBorders>
          </w:tcPr>
          <w:p>
            <w:pPr>
              <w:pStyle w:val="45"/>
              <w:spacing w:before="93"/>
              <w:ind w:left="116"/>
              <w:jc w:val="center"/>
              <w:rPr>
                <w:color w:val="auto"/>
                <w:sz w:val="18"/>
              </w:rPr>
            </w:pPr>
            <w:r>
              <w:rPr>
                <w:color w:val="auto"/>
                <w:sz w:val="18"/>
              </w:rPr>
              <w:t xml:space="preserve"> </w:t>
            </w:r>
          </w:p>
        </w:tc>
        <w:tc>
          <w:tcPr>
            <w:tcW w:w="1923" w:type="dxa"/>
            <w:tcBorders>
              <w:top w:val="single" w:color="000000" w:sz="4" w:space="0"/>
              <w:left w:val="single" w:color="000000" w:sz="4" w:space="0"/>
              <w:right w:val="single" w:color="000000" w:sz="4" w:space="0"/>
            </w:tcBorders>
          </w:tcPr>
          <w:p>
            <w:pPr>
              <w:pStyle w:val="45"/>
              <w:spacing w:before="93"/>
              <w:ind w:left="115"/>
              <w:jc w:val="center"/>
              <w:rPr>
                <w:color w:val="auto"/>
                <w:sz w:val="18"/>
              </w:rPr>
            </w:pPr>
            <w:r>
              <w:rPr>
                <w:color w:val="auto"/>
                <w:sz w:val="18"/>
              </w:rPr>
              <w:t xml:space="preserve"> </w:t>
            </w:r>
          </w:p>
        </w:tc>
      </w:tr>
    </w:tbl>
    <w:p>
      <w:pPr>
        <w:jc w:val="center"/>
        <w:rPr>
          <w:color w:val="auto"/>
          <w:sz w:val="18"/>
        </w:rPr>
        <w:sectPr>
          <w:headerReference r:id="rId9" w:type="default"/>
          <w:footerReference r:id="rId10" w:type="default"/>
          <w:pgSz w:w="16840" w:h="11900" w:orient="landscape"/>
          <w:pgMar w:top="60" w:right="1200" w:bottom="1180" w:left="1200" w:header="0" w:footer="999" w:gutter="0"/>
          <w:cols w:space="720" w:num="1"/>
        </w:sectPr>
      </w:pPr>
    </w:p>
    <w:p>
      <w:pPr>
        <w:pStyle w:val="8"/>
        <w:rPr>
          <w:color w:val="auto"/>
          <w:sz w:val="15"/>
        </w:rPr>
      </w:pPr>
    </w:p>
    <w:p>
      <w:pPr>
        <w:rPr>
          <w:color w:val="auto"/>
          <w:sz w:val="15"/>
        </w:rPr>
        <w:sectPr>
          <w:headerReference r:id="rId11" w:type="default"/>
          <w:footerReference r:id="rId12" w:type="default"/>
          <w:pgSz w:w="16840" w:h="11910" w:orient="landscape"/>
          <w:pgMar w:top="920" w:right="1680" w:bottom="1200" w:left="1340" w:header="0" w:footer="1002" w:gutter="0"/>
          <w:cols w:space="720" w:num="1"/>
        </w:sectPr>
      </w:pPr>
    </w:p>
    <w:p>
      <w:pPr>
        <w:pStyle w:val="5"/>
        <w:spacing w:before="66"/>
        <w:rPr>
          <w:color w:val="auto"/>
        </w:rPr>
      </w:pPr>
      <w:bookmarkStart w:id="84" w:name="附表3-3：形式评审记录表"/>
      <w:bookmarkEnd w:id="84"/>
      <w:r>
        <w:rPr>
          <w:color w:val="auto"/>
        </w:rPr>
        <w:t>附表3-3：形式评审记录表</w:t>
      </w:r>
    </w:p>
    <w:p>
      <w:pPr>
        <w:pStyle w:val="8"/>
        <w:rPr>
          <w:color w:val="auto"/>
          <w:sz w:val="24"/>
        </w:rPr>
      </w:pPr>
    </w:p>
    <w:p>
      <w:pPr>
        <w:pStyle w:val="8"/>
        <w:spacing w:before="3"/>
        <w:rPr>
          <w:color w:val="auto"/>
          <w:sz w:val="23"/>
        </w:rPr>
      </w:pPr>
    </w:p>
    <w:p>
      <w:pPr>
        <w:ind w:left="520"/>
        <w:rPr>
          <w:color w:val="auto"/>
        </w:rPr>
      </w:pPr>
      <w:r>
        <w:rPr>
          <w:color w:val="auto"/>
        </w:rPr>
        <w:t xml:space="preserve">工程名称：（项目名称） </w:t>
      </w:r>
    </w:p>
    <w:p>
      <w:pPr>
        <w:pStyle w:val="8"/>
        <w:spacing w:before="12"/>
        <w:rPr>
          <w:color w:val="auto"/>
          <w:sz w:val="38"/>
        </w:rPr>
      </w:pPr>
      <w:r>
        <w:rPr>
          <w:color w:val="auto"/>
        </w:rPr>
        <w:br w:type="column"/>
      </w:r>
    </w:p>
    <w:p>
      <w:pPr>
        <w:ind w:left="100"/>
        <w:rPr>
          <w:color w:val="auto"/>
          <w:sz w:val="28"/>
        </w:rPr>
      </w:pPr>
      <w:r>
        <w:rPr>
          <w:color w:val="auto"/>
          <w:sz w:val="28"/>
        </w:rPr>
        <w:t>形式评审记录表</w:t>
      </w:r>
    </w:p>
    <w:p>
      <w:pPr>
        <w:rPr>
          <w:color w:val="auto"/>
          <w:sz w:val="28"/>
        </w:rPr>
        <w:sectPr>
          <w:type w:val="continuous"/>
          <w:pgSz w:w="16840" w:h="11910" w:orient="landscape"/>
          <w:pgMar w:top="1580" w:right="1680" w:bottom="280" w:left="1340" w:header="720" w:footer="720" w:gutter="0"/>
          <w:cols w:equalWidth="0" w:num="2">
            <w:col w:w="3091" w:space="3189"/>
            <w:col w:w="7540"/>
          </w:cols>
        </w:sectPr>
      </w:pPr>
    </w:p>
    <w:p>
      <w:pPr>
        <w:pStyle w:val="8"/>
        <w:spacing w:before="1"/>
        <w:rPr>
          <w:color w:val="auto"/>
          <w:sz w:val="6"/>
        </w:rPr>
      </w:pPr>
    </w:p>
    <w:tbl>
      <w:tblPr>
        <w:tblStyle w:val="16"/>
        <w:tblW w:w="13222" w:type="dxa"/>
        <w:tblInd w:w="48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2"/>
        <w:gridCol w:w="1707"/>
        <w:gridCol w:w="4372"/>
        <w:gridCol w:w="589"/>
        <w:gridCol w:w="819"/>
        <w:gridCol w:w="497"/>
        <w:gridCol w:w="900"/>
        <w:gridCol w:w="900"/>
        <w:gridCol w:w="901"/>
        <w:gridCol w:w="900"/>
        <w:gridCol w:w="9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trPr>
        <w:tc>
          <w:tcPr>
            <w:tcW w:w="682" w:type="dxa"/>
            <w:vMerge w:val="restart"/>
            <w:tcBorders>
              <w:bottom w:val="single" w:color="000000" w:sz="4" w:space="0"/>
              <w:right w:val="single" w:color="000000" w:sz="4" w:space="0"/>
            </w:tcBorders>
          </w:tcPr>
          <w:p>
            <w:pPr>
              <w:pStyle w:val="45"/>
              <w:rPr>
                <w:color w:val="auto"/>
                <w:sz w:val="14"/>
              </w:rPr>
            </w:pPr>
          </w:p>
          <w:p>
            <w:pPr>
              <w:pStyle w:val="45"/>
              <w:ind w:left="157"/>
              <w:rPr>
                <w:color w:val="auto"/>
                <w:sz w:val="18"/>
              </w:rPr>
            </w:pPr>
            <w:r>
              <w:rPr>
                <w:color w:val="auto"/>
                <w:sz w:val="18"/>
              </w:rPr>
              <w:t xml:space="preserve">序号 </w:t>
            </w:r>
          </w:p>
        </w:tc>
        <w:tc>
          <w:tcPr>
            <w:tcW w:w="6079" w:type="dxa"/>
            <w:gridSpan w:val="2"/>
            <w:vMerge w:val="restart"/>
            <w:tcBorders>
              <w:left w:val="single" w:color="000000" w:sz="4" w:space="0"/>
              <w:bottom w:val="single" w:color="000000" w:sz="4" w:space="0"/>
              <w:right w:val="single" w:color="000000" w:sz="4" w:space="0"/>
            </w:tcBorders>
          </w:tcPr>
          <w:p>
            <w:pPr>
              <w:pStyle w:val="45"/>
              <w:rPr>
                <w:color w:val="auto"/>
                <w:sz w:val="14"/>
              </w:rPr>
            </w:pPr>
          </w:p>
          <w:p>
            <w:pPr>
              <w:pStyle w:val="45"/>
              <w:ind w:left="2710" w:right="2599"/>
              <w:jc w:val="center"/>
              <w:rPr>
                <w:color w:val="auto"/>
                <w:sz w:val="18"/>
              </w:rPr>
            </w:pPr>
            <w:r>
              <w:rPr>
                <w:color w:val="auto"/>
                <w:sz w:val="18"/>
              </w:rPr>
              <w:t xml:space="preserve">评审因素 </w:t>
            </w:r>
          </w:p>
        </w:tc>
        <w:tc>
          <w:tcPr>
            <w:tcW w:w="6461" w:type="dxa"/>
            <w:gridSpan w:val="8"/>
            <w:tcBorders>
              <w:left w:val="single" w:color="000000" w:sz="4" w:space="0"/>
              <w:bottom w:val="single" w:color="000000" w:sz="4" w:space="0"/>
            </w:tcBorders>
          </w:tcPr>
          <w:p>
            <w:pPr>
              <w:pStyle w:val="45"/>
              <w:spacing w:line="228" w:lineRule="exact"/>
              <w:ind w:left="2363" w:right="2238"/>
              <w:jc w:val="center"/>
              <w:rPr>
                <w:color w:val="auto"/>
                <w:sz w:val="18"/>
              </w:rPr>
            </w:pPr>
            <w:r>
              <w:rPr>
                <w:color w:val="auto"/>
                <w:sz w:val="18"/>
              </w:rPr>
              <w:t xml:space="preserve">投标人名称及评审意见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682" w:type="dxa"/>
            <w:vMerge w:val="continue"/>
            <w:tcBorders>
              <w:top w:val="nil"/>
              <w:bottom w:val="single" w:color="000000" w:sz="4" w:space="0"/>
              <w:right w:val="single" w:color="000000" w:sz="4" w:space="0"/>
            </w:tcBorders>
          </w:tcPr>
          <w:p>
            <w:pPr>
              <w:rPr>
                <w:color w:val="auto"/>
                <w:sz w:val="2"/>
                <w:szCs w:val="2"/>
              </w:rPr>
            </w:pPr>
          </w:p>
        </w:tc>
        <w:tc>
          <w:tcPr>
            <w:tcW w:w="6079" w:type="dxa"/>
            <w:gridSpan w:val="2"/>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7"/>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7"/>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7"/>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7"/>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7"/>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7"/>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7"/>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3" w:hRule="atLeast"/>
        </w:trPr>
        <w:tc>
          <w:tcPr>
            <w:tcW w:w="682" w:type="dxa"/>
            <w:tcBorders>
              <w:top w:val="single" w:color="000000" w:sz="4" w:space="0"/>
              <w:bottom w:val="single" w:color="000000" w:sz="4" w:space="0"/>
              <w:right w:val="single" w:color="000000" w:sz="4" w:space="0"/>
            </w:tcBorders>
          </w:tcPr>
          <w:p>
            <w:pPr>
              <w:pStyle w:val="45"/>
              <w:spacing w:before="4"/>
              <w:rPr>
                <w:color w:val="auto"/>
                <w:sz w:val="25"/>
              </w:rPr>
            </w:pPr>
          </w:p>
          <w:p>
            <w:pPr>
              <w:pStyle w:val="45"/>
              <w:ind w:left="292"/>
              <w:rPr>
                <w:color w:val="auto"/>
                <w:sz w:val="18"/>
              </w:rPr>
            </w:pPr>
            <w:r>
              <w:rPr>
                <w:color w:val="auto"/>
                <w:sz w:val="18"/>
              </w:rPr>
              <w:t xml:space="preserve">1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left="163" w:right="51"/>
              <w:jc w:val="center"/>
              <w:rPr>
                <w:color w:val="auto"/>
                <w:sz w:val="18"/>
              </w:rPr>
            </w:pPr>
            <w:r>
              <w:rPr>
                <w:color w:val="auto"/>
                <w:sz w:val="18"/>
              </w:rPr>
              <w:t xml:space="preserve">投标人名称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line="228" w:lineRule="exact"/>
              <w:ind w:left="116" w:firstLine="360"/>
              <w:rPr>
                <w:color w:val="auto"/>
                <w:sz w:val="18"/>
              </w:rPr>
            </w:pPr>
            <w:r>
              <w:rPr>
                <w:color w:val="auto"/>
                <w:sz w:val="18"/>
              </w:rPr>
              <w:t>与营业执照、资质证书、安全生产许可证上的名</w:t>
            </w:r>
          </w:p>
          <w:p>
            <w:pPr>
              <w:pStyle w:val="45"/>
              <w:spacing w:before="1" w:line="350" w:lineRule="atLeast"/>
              <w:ind w:left="116" w:right="103"/>
              <w:rPr>
                <w:color w:val="auto"/>
                <w:sz w:val="18"/>
              </w:rPr>
            </w:pPr>
            <w:r>
              <w:rPr>
                <w:color w:val="auto"/>
                <w:sz w:val="18"/>
              </w:rPr>
              <w:t xml:space="preserve">称一致；省外企业名称与在“湖南省住房和城乡建设网”登记的一致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4"/>
              <w:rPr>
                <w:color w:val="auto"/>
                <w:sz w:val="25"/>
              </w:rPr>
            </w:pPr>
          </w:p>
          <w:p>
            <w:pPr>
              <w:pStyle w:val="45"/>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4"/>
              <w:rPr>
                <w:color w:val="auto"/>
                <w:sz w:val="25"/>
              </w:rPr>
            </w:pPr>
          </w:p>
          <w:p>
            <w:pPr>
              <w:pStyle w:val="45"/>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2" w:hRule="atLeast"/>
        </w:trPr>
        <w:tc>
          <w:tcPr>
            <w:tcW w:w="682" w:type="dxa"/>
            <w:tcBorders>
              <w:top w:val="single" w:color="000000" w:sz="4" w:space="0"/>
              <w:bottom w:val="single" w:color="000000" w:sz="4" w:space="0"/>
              <w:right w:val="single" w:color="000000" w:sz="4" w:space="0"/>
            </w:tcBorders>
          </w:tcPr>
          <w:p>
            <w:pPr>
              <w:pStyle w:val="45"/>
              <w:spacing w:before="9"/>
              <w:rPr>
                <w:color w:val="auto"/>
                <w:sz w:val="23"/>
              </w:rPr>
            </w:pPr>
          </w:p>
          <w:p>
            <w:pPr>
              <w:pStyle w:val="45"/>
              <w:spacing w:before="1"/>
              <w:ind w:left="292"/>
              <w:rPr>
                <w:color w:val="auto"/>
                <w:sz w:val="18"/>
              </w:rPr>
            </w:pPr>
            <w:r>
              <w:rPr>
                <w:color w:val="auto"/>
                <w:sz w:val="18"/>
              </w:rPr>
              <w:t xml:space="preserve">2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left="163" w:right="53"/>
              <w:jc w:val="center"/>
              <w:rPr>
                <w:color w:val="auto"/>
                <w:sz w:val="18"/>
              </w:rPr>
            </w:pPr>
            <w:r>
              <w:rPr>
                <w:color w:val="auto"/>
                <w:sz w:val="18"/>
              </w:rPr>
              <w:t xml:space="preserve">投标文件签字盖章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line="362" w:lineRule="auto"/>
              <w:ind w:left="116" w:right="103" w:firstLine="360"/>
              <w:rPr>
                <w:color w:val="auto"/>
                <w:sz w:val="18"/>
              </w:rPr>
            </w:pPr>
            <w:r>
              <w:rPr>
                <w:color w:val="auto"/>
                <w:sz w:val="18"/>
              </w:rPr>
              <w:t>由法定代表人（或其委托代理人）签名或加盖印章，并加盖投标人的单位公章。投标人加盖的单</w:t>
            </w:r>
          </w:p>
          <w:p>
            <w:pPr>
              <w:pStyle w:val="45"/>
              <w:spacing w:before="1"/>
              <w:ind w:left="116"/>
              <w:rPr>
                <w:color w:val="auto"/>
                <w:sz w:val="18"/>
              </w:rPr>
            </w:pPr>
            <w:r>
              <w:rPr>
                <w:color w:val="auto"/>
                <w:sz w:val="18"/>
              </w:rPr>
              <w:t xml:space="preserve">位公章与其营业执照的单位名称应当一致。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9"/>
              <w:rPr>
                <w:color w:val="auto"/>
                <w:sz w:val="23"/>
              </w:rPr>
            </w:pPr>
          </w:p>
          <w:p>
            <w:pPr>
              <w:pStyle w:val="45"/>
              <w:spacing w:before="1"/>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9"/>
              <w:rPr>
                <w:color w:val="auto"/>
                <w:sz w:val="23"/>
              </w:rPr>
            </w:pPr>
          </w:p>
          <w:p>
            <w:pPr>
              <w:pStyle w:val="45"/>
              <w:spacing w:before="1"/>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trPr>
        <w:tc>
          <w:tcPr>
            <w:tcW w:w="682" w:type="dxa"/>
            <w:tcBorders>
              <w:top w:val="single" w:color="000000" w:sz="4" w:space="0"/>
              <w:bottom w:val="single" w:color="000000" w:sz="4" w:space="0"/>
              <w:right w:val="single" w:color="000000" w:sz="4" w:space="0"/>
            </w:tcBorders>
          </w:tcPr>
          <w:p>
            <w:pPr>
              <w:pStyle w:val="45"/>
              <w:spacing w:before="139"/>
              <w:ind w:left="292"/>
              <w:rPr>
                <w:color w:val="auto"/>
                <w:sz w:val="18"/>
              </w:rPr>
            </w:pPr>
            <w:r>
              <w:rPr>
                <w:color w:val="auto"/>
                <w:sz w:val="18"/>
              </w:rPr>
              <w:t xml:space="preserve">3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before="3"/>
              <w:rPr>
                <w:color w:val="auto"/>
                <w:sz w:val="16"/>
              </w:rPr>
            </w:pPr>
          </w:p>
          <w:p>
            <w:pPr>
              <w:pStyle w:val="45"/>
              <w:ind w:left="163" w:right="53"/>
              <w:jc w:val="center"/>
              <w:rPr>
                <w:color w:val="auto"/>
                <w:sz w:val="18"/>
              </w:rPr>
            </w:pPr>
            <w:r>
              <w:rPr>
                <w:color w:val="auto"/>
                <w:sz w:val="18"/>
              </w:rPr>
              <w:t xml:space="preserve">投标文件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before="88" w:line="249" w:lineRule="auto"/>
              <w:ind w:left="116" w:right="283" w:firstLine="360"/>
              <w:rPr>
                <w:color w:val="auto"/>
                <w:sz w:val="18"/>
              </w:rPr>
            </w:pPr>
            <w:r>
              <w:rPr>
                <w:color w:val="auto"/>
                <w:sz w:val="18"/>
              </w:rPr>
              <w:t xml:space="preserve">同一投标人未提交两份以上不同内容的投标文件，但招标文件要求提交备选投标的除外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139"/>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139"/>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139"/>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39"/>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39"/>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39"/>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39"/>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139"/>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82" w:type="dxa"/>
            <w:tcBorders>
              <w:top w:val="single" w:color="000000" w:sz="4" w:space="0"/>
              <w:bottom w:val="single" w:color="000000" w:sz="4" w:space="0"/>
              <w:right w:val="single" w:color="000000" w:sz="4" w:space="0"/>
            </w:tcBorders>
          </w:tcPr>
          <w:p>
            <w:pPr>
              <w:pStyle w:val="45"/>
              <w:spacing w:before="141"/>
              <w:ind w:left="292"/>
              <w:rPr>
                <w:color w:val="auto"/>
                <w:sz w:val="18"/>
              </w:rPr>
            </w:pPr>
            <w:r>
              <w:rPr>
                <w:color w:val="auto"/>
                <w:sz w:val="18"/>
              </w:rPr>
              <w:t xml:space="preserve">4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line="228" w:lineRule="exact"/>
              <w:ind w:left="318"/>
              <w:rPr>
                <w:color w:val="auto"/>
                <w:sz w:val="18"/>
              </w:rPr>
            </w:pPr>
            <w:r>
              <w:rPr>
                <w:color w:val="auto"/>
                <w:sz w:val="18"/>
              </w:rPr>
              <w:t xml:space="preserve">联合体协议书 </w:t>
            </w:r>
          </w:p>
          <w:p>
            <w:pPr>
              <w:pStyle w:val="45"/>
              <w:spacing w:before="120"/>
              <w:ind w:left="318"/>
              <w:rPr>
                <w:color w:val="auto"/>
                <w:sz w:val="18"/>
              </w:rPr>
            </w:pPr>
            <w:r>
              <w:rPr>
                <w:color w:val="auto"/>
                <w:sz w:val="18"/>
              </w:rPr>
              <w:t xml:space="preserve">（如有的话）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before="141"/>
              <w:ind w:left="476"/>
              <w:rPr>
                <w:color w:val="auto"/>
                <w:sz w:val="18"/>
              </w:rPr>
            </w:pPr>
            <w:r>
              <w:rPr>
                <w:color w:val="auto"/>
                <w:sz w:val="18"/>
              </w:rPr>
              <w:t xml:space="preserve"> 提交共同投标协议，且明确了牵头人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141"/>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141"/>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141"/>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41"/>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41"/>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41"/>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141"/>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141"/>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6" w:hRule="atLeast"/>
        </w:trPr>
        <w:tc>
          <w:tcPr>
            <w:tcW w:w="682" w:type="dxa"/>
            <w:tcBorders>
              <w:top w:val="single" w:color="000000" w:sz="4" w:space="0"/>
              <w:bottom w:val="single" w:color="000000" w:sz="4" w:space="0"/>
              <w:right w:val="single" w:color="000000" w:sz="4" w:space="0"/>
            </w:tcBorders>
          </w:tcPr>
          <w:p>
            <w:pPr>
              <w:pStyle w:val="45"/>
              <w:spacing w:before="2"/>
              <w:rPr>
                <w:color w:val="auto"/>
                <w:sz w:val="17"/>
              </w:rPr>
            </w:pPr>
          </w:p>
          <w:p>
            <w:pPr>
              <w:pStyle w:val="45"/>
              <w:ind w:left="292"/>
              <w:rPr>
                <w:color w:val="auto"/>
                <w:sz w:val="18"/>
              </w:rPr>
            </w:pPr>
            <w:r>
              <w:rPr>
                <w:color w:val="auto"/>
                <w:sz w:val="18"/>
              </w:rPr>
              <w:t xml:space="preserve">5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left="163" w:right="53"/>
              <w:jc w:val="center"/>
              <w:rPr>
                <w:color w:val="auto"/>
                <w:sz w:val="18"/>
              </w:rPr>
            </w:pPr>
            <w:r>
              <w:rPr>
                <w:color w:val="auto"/>
                <w:sz w:val="18"/>
              </w:rPr>
              <w:t xml:space="preserve">报价唯一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before="45" w:line="364" w:lineRule="auto"/>
              <w:ind w:left="116" w:right="103" w:firstLine="360"/>
              <w:rPr>
                <w:color w:val="auto"/>
                <w:sz w:val="18"/>
              </w:rPr>
            </w:pPr>
            <w:r>
              <w:rPr>
                <w:color w:val="auto"/>
                <w:sz w:val="18"/>
              </w:rPr>
              <w:t xml:space="preserve">是同一投标人未提交两份以上不同内容的投标报价，但招标文件要求提交备选投标的除外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7"/>
              </w:rPr>
            </w:pPr>
          </w:p>
          <w:p>
            <w:pPr>
              <w:pStyle w:val="45"/>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2"/>
              <w:rPr>
                <w:color w:val="auto"/>
                <w:sz w:val="17"/>
              </w:rPr>
            </w:pPr>
          </w:p>
          <w:p>
            <w:pPr>
              <w:pStyle w:val="45"/>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5" w:hRule="atLeast"/>
        </w:trPr>
        <w:tc>
          <w:tcPr>
            <w:tcW w:w="682" w:type="dxa"/>
            <w:tcBorders>
              <w:top w:val="single" w:color="000000" w:sz="4" w:space="0"/>
              <w:bottom w:val="single" w:color="000000" w:sz="4" w:space="0"/>
              <w:right w:val="single" w:color="000000" w:sz="4" w:space="0"/>
            </w:tcBorders>
          </w:tcPr>
          <w:p>
            <w:pPr>
              <w:pStyle w:val="45"/>
              <w:spacing w:before="8"/>
              <w:rPr>
                <w:color w:val="auto"/>
                <w:sz w:val="13"/>
              </w:rPr>
            </w:pPr>
          </w:p>
          <w:p>
            <w:pPr>
              <w:pStyle w:val="45"/>
              <w:ind w:left="292"/>
              <w:rPr>
                <w:color w:val="auto"/>
                <w:sz w:val="18"/>
              </w:rPr>
            </w:pPr>
            <w:r>
              <w:rPr>
                <w:color w:val="auto"/>
                <w:sz w:val="18"/>
              </w:rPr>
              <w:t xml:space="preserve">6 </w:t>
            </w:r>
          </w:p>
        </w:tc>
        <w:tc>
          <w:tcPr>
            <w:tcW w:w="1707"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left="163" w:right="53"/>
              <w:jc w:val="center"/>
              <w:rPr>
                <w:color w:val="auto"/>
                <w:sz w:val="18"/>
              </w:rPr>
            </w:pPr>
            <w:r>
              <w:rPr>
                <w:color w:val="auto"/>
                <w:sz w:val="18"/>
              </w:rPr>
              <w:t xml:space="preserve">其他 </w:t>
            </w:r>
          </w:p>
        </w:tc>
        <w:tc>
          <w:tcPr>
            <w:tcW w:w="4372" w:type="dxa"/>
            <w:tcBorders>
              <w:top w:val="single" w:color="000000" w:sz="4" w:space="0"/>
              <w:left w:val="single" w:color="000000" w:sz="4" w:space="0"/>
              <w:bottom w:val="single" w:color="000000" w:sz="4" w:space="0"/>
              <w:right w:val="single" w:color="000000" w:sz="4" w:space="0"/>
            </w:tcBorders>
          </w:tcPr>
          <w:p>
            <w:pPr>
              <w:pStyle w:val="45"/>
              <w:spacing w:line="230" w:lineRule="exact"/>
              <w:ind w:left="476"/>
              <w:rPr>
                <w:color w:val="auto"/>
                <w:sz w:val="18"/>
              </w:rPr>
            </w:pPr>
            <w:r>
              <w:rPr>
                <w:color w:val="auto"/>
                <w:sz w:val="18"/>
              </w:rPr>
              <w:t xml:space="preserve">投标人没有其它不符合法律法规及招标文件相关 </w:t>
            </w:r>
          </w:p>
          <w:p>
            <w:pPr>
              <w:pStyle w:val="45"/>
              <w:spacing w:before="119"/>
              <w:ind w:left="476"/>
              <w:rPr>
                <w:color w:val="auto"/>
                <w:sz w:val="18"/>
              </w:rPr>
            </w:pPr>
            <w:r>
              <w:rPr>
                <w:color w:val="auto"/>
                <w:sz w:val="18"/>
              </w:rPr>
              <w:t xml:space="preserve">形式规定的情况。 </w:t>
            </w:r>
          </w:p>
        </w:tc>
        <w:tc>
          <w:tcPr>
            <w:tcW w:w="589"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186"/>
              <w:jc w:val="right"/>
              <w:rPr>
                <w:color w:val="auto"/>
                <w:sz w:val="18"/>
              </w:rPr>
            </w:pPr>
            <w:r>
              <w:rPr>
                <w:color w:val="auto"/>
                <w:sz w:val="18"/>
              </w:rPr>
              <w:t xml:space="preserve"> </w:t>
            </w:r>
          </w:p>
        </w:tc>
        <w:tc>
          <w:tcPr>
            <w:tcW w:w="819"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302"/>
              <w:jc w:val="right"/>
              <w:rPr>
                <w:color w:val="auto"/>
                <w:sz w:val="18"/>
              </w:rPr>
            </w:pPr>
            <w:r>
              <w:rPr>
                <w:color w:val="auto"/>
                <w:sz w:val="18"/>
              </w:rPr>
              <w:t xml:space="preserve"> </w:t>
            </w:r>
          </w:p>
        </w:tc>
        <w:tc>
          <w:tcPr>
            <w:tcW w:w="497"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141"/>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345"/>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345"/>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right="346"/>
              <w:jc w:val="right"/>
              <w:rPr>
                <w:color w:val="auto"/>
                <w:sz w:val="18"/>
              </w:rPr>
            </w:pPr>
            <w:r>
              <w:rPr>
                <w:color w:val="auto"/>
                <w:sz w:val="18"/>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3"/>
              </w:rPr>
            </w:pPr>
          </w:p>
          <w:p>
            <w:pPr>
              <w:pStyle w:val="45"/>
              <w:ind w:left="103"/>
              <w:jc w:val="center"/>
              <w:rPr>
                <w:color w:val="auto"/>
                <w:sz w:val="18"/>
              </w:rPr>
            </w:pPr>
            <w:r>
              <w:rPr>
                <w:color w:val="auto"/>
                <w:sz w:val="18"/>
              </w:rPr>
              <w:t xml:space="preserve"> </w:t>
            </w:r>
          </w:p>
        </w:tc>
        <w:tc>
          <w:tcPr>
            <w:tcW w:w="955" w:type="dxa"/>
            <w:tcBorders>
              <w:top w:val="single" w:color="000000" w:sz="4" w:space="0"/>
              <w:left w:val="single" w:color="000000" w:sz="4" w:space="0"/>
              <w:bottom w:val="single" w:color="000000" w:sz="4" w:space="0"/>
            </w:tcBorders>
          </w:tcPr>
          <w:p>
            <w:pPr>
              <w:pStyle w:val="45"/>
              <w:spacing w:before="8"/>
              <w:rPr>
                <w:color w:val="auto"/>
                <w:sz w:val="13"/>
              </w:rPr>
            </w:pPr>
          </w:p>
          <w:p>
            <w:pPr>
              <w:pStyle w:val="45"/>
              <w:ind w:right="362"/>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682" w:type="dxa"/>
            <w:tcBorders>
              <w:top w:val="single" w:color="000000" w:sz="4" w:space="0"/>
              <w:right w:val="single" w:color="000000" w:sz="4" w:space="0"/>
            </w:tcBorders>
          </w:tcPr>
          <w:p>
            <w:pPr>
              <w:pStyle w:val="45"/>
              <w:spacing w:before="72"/>
              <w:ind w:left="337"/>
              <w:rPr>
                <w:color w:val="auto"/>
                <w:sz w:val="18"/>
              </w:rPr>
            </w:pPr>
            <w:r>
              <w:rPr>
                <w:color w:val="auto"/>
                <w:sz w:val="18"/>
              </w:rPr>
              <w:t xml:space="preserve"> </w:t>
            </w:r>
          </w:p>
        </w:tc>
        <w:tc>
          <w:tcPr>
            <w:tcW w:w="1707" w:type="dxa"/>
            <w:tcBorders>
              <w:top w:val="single" w:color="000000" w:sz="4" w:space="0"/>
              <w:left w:val="single" w:color="000000" w:sz="4" w:space="0"/>
              <w:right w:val="single" w:color="000000" w:sz="4" w:space="0"/>
            </w:tcBorders>
          </w:tcPr>
          <w:p>
            <w:pPr>
              <w:pStyle w:val="45"/>
              <w:spacing w:before="72"/>
              <w:ind w:left="163" w:right="53"/>
              <w:jc w:val="center"/>
              <w:rPr>
                <w:color w:val="auto"/>
                <w:sz w:val="18"/>
              </w:rPr>
            </w:pPr>
            <w:r>
              <w:rPr>
                <w:color w:val="auto"/>
                <w:sz w:val="18"/>
              </w:rPr>
              <w:t xml:space="preserve">评审结论 </w:t>
            </w:r>
          </w:p>
        </w:tc>
        <w:tc>
          <w:tcPr>
            <w:tcW w:w="4372" w:type="dxa"/>
            <w:tcBorders>
              <w:top w:val="single" w:color="000000" w:sz="4" w:space="0"/>
              <w:left w:val="single" w:color="000000" w:sz="4" w:space="0"/>
              <w:right w:val="single" w:color="000000" w:sz="4" w:space="0"/>
            </w:tcBorders>
          </w:tcPr>
          <w:p>
            <w:pPr>
              <w:pStyle w:val="45"/>
              <w:spacing w:before="72"/>
              <w:ind w:left="1677" w:right="1564"/>
              <w:jc w:val="center"/>
              <w:rPr>
                <w:color w:val="auto"/>
                <w:sz w:val="18"/>
              </w:rPr>
            </w:pPr>
            <w:r>
              <w:rPr>
                <w:color w:val="auto"/>
                <w:sz w:val="18"/>
              </w:rPr>
              <w:t xml:space="preserve">合格或不合格 </w:t>
            </w:r>
          </w:p>
        </w:tc>
        <w:tc>
          <w:tcPr>
            <w:tcW w:w="589" w:type="dxa"/>
            <w:tcBorders>
              <w:top w:val="single" w:color="000000" w:sz="4" w:space="0"/>
              <w:left w:val="single" w:color="000000" w:sz="4" w:space="0"/>
              <w:right w:val="single" w:color="000000" w:sz="4" w:space="0"/>
            </w:tcBorders>
          </w:tcPr>
          <w:p>
            <w:pPr>
              <w:pStyle w:val="45"/>
              <w:spacing w:before="72"/>
              <w:ind w:right="186"/>
              <w:jc w:val="right"/>
              <w:rPr>
                <w:color w:val="auto"/>
                <w:sz w:val="18"/>
              </w:rPr>
            </w:pPr>
            <w:r>
              <w:rPr>
                <w:color w:val="auto"/>
                <w:sz w:val="18"/>
              </w:rPr>
              <w:t xml:space="preserve"> </w:t>
            </w:r>
          </w:p>
        </w:tc>
        <w:tc>
          <w:tcPr>
            <w:tcW w:w="819" w:type="dxa"/>
            <w:tcBorders>
              <w:top w:val="single" w:color="000000" w:sz="4" w:space="0"/>
              <w:left w:val="single" w:color="000000" w:sz="4" w:space="0"/>
              <w:right w:val="single" w:color="000000" w:sz="4" w:space="0"/>
            </w:tcBorders>
          </w:tcPr>
          <w:p>
            <w:pPr>
              <w:pStyle w:val="45"/>
              <w:spacing w:before="72"/>
              <w:ind w:right="302"/>
              <w:jc w:val="right"/>
              <w:rPr>
                <w:color w:val="auto"/>
                <w:sz w:val="18"/>
              </w:rPr>
            </w:pPr>
            <w:r>
              <w:rPr>
                <w:color w:val="auto"/>
                <w:sz w:val="18"/>
              </w:rPr>
              <w:t xml:space="preserve"> </w:t>
            </w:r>
          </w:p>
        </w:tc>
        <w:tc>
          <w:tcPr>
            <w:tcW w:w="497" w:type="dxa"/>
            <w:tcBorders>
              <w:top w:val="single" w:color="000000" w:sz="4" w:space="0"/>
              <w:left w:val="single" w:color="000000" w:sz="4" w:space="0"/>
              <w:right w:val="single" w:color="000000" w:sz="4" w:space="0"/>
            </w:tcBorders>
          </w:tcPr>
          <w:p>
            <w:pPr>
              <w:pStyle w:val="45"/>
              <w:spacing w:before="72"/>
              <w:ind w:right="141"/>
              <w:jc w:val="right"/>
              <w:rPr>
                <w:color w:val="auto"/>
                <w:sz w:val="18"/>
              </w:rPr>
            </w:pPr>
            <w:r>
              <w:rPr>
                <w:color w:val="auto"/>
                <w:sz w:val="18"/>
              </w:rPr>
              <w:t xml:space="preserve"> </w:t>
            </w:r>
          </w:p>
        </w:tc>
        <w:tc>
          <w:tcPr>
            <w:tcW w:w="900" w:type="dxa"/>
            <w:tcBorders>
              <w:top w:val="single" w:color="000000" w:sz="4" w:space="0"/>
              <w:left w:val="single" w:color="000000" w:sz="4" w:space="0"/>
              <w:right w:val="single" w:color="000000" w:sz="4" w:space="0"/>
            </w:tcBorders>
          </w:tcPr>
          <w:p>
            <w:pPr>
              <w:pStyle w:val="45"/>
              <w:spacing w:before="72"/>
              <w:ind w:right="345"/>
              <w:jc w:val="right"/>
              <w:rPr>
                <w:color w:val="auto"/>
                <w:sz w:val="18"/>
              </w:rPr>
            </w:pPr>
            <w:r>
              <w:rPr>
                <w:color w:val="auto"/>
                <w:sz w:val="18"/>
              </w:rPr>
              <w:t xml:space="preserve"> </w:t>
            </w:r>
          </w:p>
        </w:tc>
        <w:tc>
          <w:tcPr>
            <w:tcW w:w="900" w:type="dxa"/>
            <w:tcBorders>
              <w:top w:val="single" w:color="000000" w:sz="4" w:space="0"/>
              <w:left w:val="single" w:color="000000" w:sz="4" w:space="0"/>
              <w:right w:val="single" w:color="000000" w:sz="4" w:space="0"/>
            </w:tcBorders>
          </w:tcPr>
          <w:p>
            <w:pPr>
              <w:pStyle w:val="45"/>
              <w:spacing w:before="72"/>
              <w:ind w:right="345"/>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72"/>
              <w:ind w:right="346"/>
              <w:jc w:val="right"/>
              <w:rPr>
                <w:color w:val="auto"/>
                <w:sz w:val="18"/>
              </w:rPr>
            </w:pPr>
            <w:r>
              <w:rPr>
                <w:color w:val="auto"/>
                <w:sz w:val="18"/>
              </w:rPr>
              <w:t xml:space="preserve"> </w:t>
            </w:r>
          </w:p>
        </w:tc>
        <w:tc>
          <w:tcPr>
            <w:tcW w:w="900" w:type="dxa"/>
            <w:tcBorders>
              <w:top w:val="single" w:color="000000" w:sz="4" w:space="0"/>
              <w:left w:val="single" w:color="000000" w:sz="4" w:space="0"/>
              <w:right w:val="single" w:color="000000" w:sz="4" w:space="0"/>
            </w:tcBorders>
          </w:tcPr>
          <w:p>
            <w:pPr>
              <w:pStyle w:val="45"/>
              <w:spacing w:before="72"/>
              <w:ind w:left="103"/>
              <w:jc w:val="center"/>
              <w:rPr>
                <w:color w:val="auto"/>
                <w:sz w:val="18"/>
              </w:rPr>
            </w:pPr>
            <w:r>
              <w:rPr>
                <w:color w:val="auto"/>
                <w:sz w:val="18"/>
              </w:rPr>
              <w:t xml:space="preserve"> </w:t>
            </w:r>
          </w:p>
        </w:tc>
        <w:tc>
          <w:tcPr>
            <w:tcW w:w="955" w:type="dxa"/>
            <w:tcBorders>
              <w:top w:val="single" w:color="000000" w:sz="4" w:space="0"/>
              <w:left w:val="single" w:color="000000" w:sz="4" w:space="0"/>
            </w:tcBorders>
          </w:tcPr>
          <w:p>
            <w:pPr>
              <w:pStyle w:val="45"/>
              <w:spacing w:before="72"/>
              <w:ind w:right="362"/>
              <w:jc w:val="right"/>
              <w:rPr>
                <w:color w:val="auto"/>
                <w:sz w:val="18"/>
              </w:rPr>
            </w:pPr>
            <w:r>
              <w:rPr>
                <w:color w:val="auto"/>
                <w:sz w:val="18"/>
              </w:rPr>
              <w:t xml:space="preserve"> </w:t>
            </w:r>
          </w:p>
        </w:tc>
      </w:tr>
    </w:tbl>
    <w:p>
      <w:pPr>
        <w:spacing w:before="4" w:line="364" w:lineRule="auto"/>
        <w:ind w:left="520" w:right="4808" w:firstLine="19"/>
        <w:rPr>
          <w:color w:val="auto"/>
        </w:rPr>
      </w:pPr>
      <w:r>
        <w:rPr>
          <w:color w:val="auto"/>
          <w:spacing w:val="-3"/>
        </w:rPr>
        <w:t>备注：以上内容合格的打“√”，不合格的打“×”，有一项不合格则结论为不合格。评标委员会全体成员签字</w:t>
      </w:r>
      <w:r>
        <w:rPr>
          <w:color w:val="auto"/>
        </w:rPr>
        <w:t>/</w:t>
      </w:r>
      <w:r>
        <w:rPr>
          <w:color w:val="auto"/>
          <w:spacing w:val="-1"/>
        </w:rPr>
        <w:t>日期：</w:t>
      </w:r>
      <w:r>
        <w:rPr>
          <w:color w:val="auto"/>
        </w:rPr>
        <w:t xml:space="preserve"> </w:t>
      </w:r>
    </w:p>
    <w:p>
      <w:pPr>
        <w:spacing w:line="364" w:lineRule="auto"/>
        <w:rPr>
          <w:color w:val="auto"/>
        </w:rPr>
        <w:sectPr>
          <w:type w:val="continuous"/>
          <w:pgSz w:w="16840" w:h="11910" w:orient="landscape"/>
          <w:pgMar w:top="1580" w:right="1680" w:bottom="280" w:left="1340" w:header="720" w:footer="720" w:gutter="0"/>
          <w:cols w:space="720" w:num="1"/>
        </w:sectPr>
      </w:pPr>
    </w:p>
    <w:p>
      <w:pPr>
        <w:pStyle w:val="8"/>
        <w:rPr>
          <w:color w:val="auto"/>
          <w:sz w:val="20"/>
        </w:rPr>
      </w:pPr>
    </w:p>
    <w:p>
      <w:pPr>
        <w:pStyle w:val="8"/>
        <w:rPr>
          <w:color w:val="auto"/>
          <w:sz w:val="20"/>
        </w:rPr>
      </w:pPr>
    </w:p>
    <w:p>
      <w:pPr>
        <w:pStyle w:val="8"/>
        <w:rPr>
          <w:color w:val="auto"/>
          <w:sz w:val="20"/>
        </w:rPr>
      </w:pPr>
    </w:p>
    <w:p>
      <w:pPr>
        <w:pStyle w:val="8"/>
        <w:spacing w:before="6"/>
        <w:rPr>
          <w:color w:val="auto"/>
        </w:rPr>
      </w:pPr>
    </w:p>
    <w:p>
      <w:pPr>
        <w:rPr>
          <w:color w:val="auto"/>
        </w:rPr>
        <w:sectPr>
          <w:headerReference r:id="rId13" w:type="default"/>
          <w:footerReference r:id="rId14" w:type="default"/>
          <w:pgSz w:w="11900" w:h="16840"/>
          <w:pgMar w:top="60" w:right="1100" w:bottom="1200" w:left="1040" w:header="0" w:footer="1002" w:gutter="0"/>
          <w:cols w:space="720" w:num="1"/>
        </w:sectPr>
      </w:pPr>
    </w:p>
    <w:p>
      <w:pPr>
        <w:pStyle w:val="5"/>
        <w:spacing w:before="66"/>
        <w:ind w:left="400"/>
        <w:rPr>
          <w:color w:val="auto"/>
        </w:rPr>
      </w:pPr>
      <w:bookmarkStart w:id="85" w:name="附表3-4：资格评审记录表"/>
      <w:bookmarkEnd w:id="85"/>
      <w:r>
        <w:rPr>
          <w:color w:val="auto"/>
        </w:rPr>
        <w:t>附表3-4：资格评审记录表</w:t>
      </w:r>
    </w:p>
    <w:p>
      <w:pPr>
        <w:pStyle w:val="8"/>
        <w:rPr>
          <w:color w:val="auto"/>
          <w:sz w:val="39"/>
        </w:rPr>
      </w:pPr>
      <w:r>
        <w:rPr>
          <w:color w:val="auto"/>
        </w:rPr>
        <w:br w:type="column"/>
      </w:r>
    </w:p>
    <w:p>
      <w:pPr>
        <w:ind w:left="400"/>
        <w:rPr>
          <w:color w:val="auto"/>
          <w:sz w:val="28"/>
        </w:rPr>
      </w:pPr>
      <w:r>
        <w:rPr>
          <w:color w:val="auto"/>
          <w:sz w:val="28"/>
        </w:rPr>
        <w:t>资格评审记录表</w:t>
      </w:r>
    </w:p>
    <w:p>
      <w:pPr>
        <w:rPr>
          <w:color w:val="auto"/>
          <w:sz w:val="28"/>
        </w:rPr>
        <w:sectPr>
          <w:type w:val="continuous"/>
          <w:pgSz w:w="11900" w:h="16840"/>
          <w:pgMar w:top="1580" w:right="1100" w:bottom="280" w:left="1040" w:header="720" w:footer="720" w:gutter="0"/>
          <w:cols w:equalWidth="0" w:num="2">
            <w:col w:w="3201" w:space="608"/>
            <w:col w:w="5951"/>
          </w:cols>
        </w:sectPr>
      </w:pPr>
    </w:p>
    <w:p>
      <w:pPr>
        <w:pStyle w:val="8"/>
        <w:rPr>
          <w:color w:val="auto"/>
          <w:sz w:val="20"/>
        </w:rPr>
      </w:pPr>
    </w:p>
    <w:p>
      <w:pPr>
        <w:pStyle w:val="8"/>
        <w:spacing w:before="4"/>
        <w:rPr>
          <w:color w:val="auto"/>
          <w:sz w:val="11"/>
        </w:rPr>
      </w:pPr>
    </w:p>
    <w:tbl>
      <w:tblPr>
        <w:tblStyle w:val="16"/>
        <w:tblW w:w="9529"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679"/>
        <w:gridCol w:w="1985"/>
        <w:gridCol w:w="4477"/>
        <w:gridCol w:w="660"/>
        <w:gridCol w:w="600"/>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48" w:type="dxa"/>
            <w:vMerge w:val="restart"/>
          </w:tcPr>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spacing w:before="5"/>
              <w:rPr>
                <w:color w:val="auto"/>
                <w:sz w:val="19"/>
              </w:rPr>
            </w:pPr>
          </w:p>
          <w:p>
            <w:pPr>
              <w:pStyle w:val="45"/>
              <w:ind w:right="130"/>
              <w:jc w:val="right"/>
              <w:rPr>
                <w:color w:val="auto"/>
                <w:sz w:val="18"/>
              </w:rPr>
            </w:pPr>
            <w:r>
              <w:rPr>
                <w:color w:val="auto"/>
                <w:sz w:val="18"/>
              </w:rPr>
              <w:t>2.1.</w:t>
            </w:r>
          </w:p>
          <w:p>
            <w:pPr>
              <w:pStyle w:val="45"/>
              <w:spacing w:before="2"/>
              <w:ind w:right="176"/>
              <w:jc w:val="right"/>
              <w:rPr>
                <w:color w:val="auto"/>
                <w:sz w:val="18"/>
              </w:rPr>
            </w:pPr>
            <w:r>
              <w:rPr>
                <w:color w:val="auto"/>
                <w:sz w:val="18"/>
              </w:rPr>
              <w:t xml:space="preserve">2 </w:t>
            </w:r>
          </w:p>
        </w:tc>
        <w:tc>
          <w:tcPr>
            <w:tcW w:w="679" w:type="dxa"/>
            <w:vMerge w:val="restart"/>
          </w:tcPr>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rPr>
                <w:color w:val="auto"/>
                <w:sz w:val="18"/>
              </w:rPr>
            </w:pPr>
          </w:p>
          <w:p>
            <w:pPr>
              <w:pStyle w:val="45"/>
              <w:spacing w:before="131" w:line="242" w:lineRule="auto"/>
              <w:ind w:left="158" w:right="58"/>
              <w:jc w:val="both"/>
              <w:rPr>
                <w:color w:val="auto"/>
                <w:sz w:val="18"/>
              </w:rPr>
            </w:pPr>
            <w:r>
              <w:rPr>
                <w:color w:val="auto"/>
                <w:sz w:val="18"/>
              </w:rPr>
              <w:t xml:space="preserve">资格评审标准 </w:t>
            </w:r>
          </w:p>
        </w:tc>
        <w:tc>
          <w:tcPr>
            <w:tcW w:w="6462" w:type="dxa"/>
            <w:gridSpan w:val="2"/>
            <w:vMerge w:val="restart"/>
          </w:tcPr>
          <w:p>
            <w:pPr>
              <w:pStyle w:val="45"/>
              <w:rPr>
                <w:color w:val="auto"/>
                <w:sz w:val="18"/>
              </w:rPr>
            </w:pPr>
          </w:p>
          <w:p>
            <w:pPr>
              <w:pStyle w:val="45"/>
              <w:spacing w:before="136"/>
              <w:ind w:left="2896" w:right="2795"/>
              <w:jc w:val="center"/>
              <w:rPr>
                <w:color w:val="auto"/>
                <w:sz w:val="18"/>
              </w:rPr>
            </w:pPr>
            <w:r>
              <w:rPr>
                <w:color w:val="auto"/>
                <w:sz w:val="18"/>
              </w:rPr>
              <w:t xml:space="preserve">评审因素 </w:t>
            </w:r>
          </w:p>
        </w:tc>
        <w:tc>
          <w:tcPr>
            <w:tcW w:w="1740" w:type="dxa"/>
            <w:gridSpan w:val="3"/>
          </w:tcPr>
          <w:p>
            <w:pPr>
              <w:pStyle w:val="45"/>
              <w:spacing w:before="4" w:line="230" w:lineRule="atLeast"/>
              <w:ind w:left="691" w:right="137" w:hanging="540"/>
              <w:rPr>
                <w:color w:val="auto"/>
                <w:sz w:val="18"/>
              </w:rPr>
            </w:pPr>
            <w:r>
              <w:rPr>
                <w:color w:val="auto"/>
                <w:sz w:val="18"/>
              </w:rPr>
              <w:t xml:space="preserve">投标人名称及评审意见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6462" w:type="dxa"/>
            <w:gridSpan w:val="2"/>
            <w:vMerge w:val="continue"/>
            <w:tcBorders>
              <w:top w:val="nil"/>
            </w:tcBorders>
          </w:tcPr>
          <w:p>
            <w:pPr>
              <w:rPr>
                <w:color w:val="auto"/>
                <w:sz w:val="2"/>
                <w:szCs w:val="2"/>
              </w:rPr>
            </w:pPr>
          </w:p>
        </w:tc>
        <w:tc>
          <w:tcPr>
            <w:tcW w:w="660" w:type="dxa"/>
          </w:tcPr>
          <w:p>
            <w:pPr>
              <w:pStyle w:val="45"/>
              <w:spacing w:before="62"/>
              <w:ind w:left="111"/>
              <w:rPr>
                <w:color w:val="auto"/>
                <w:sz w:val="18"/>
              </w:rPr>
            </w:pPr>
            <w:r>
              <w:rPr>
                <w:color w:val="auto"/>
                <w:sz w:val="18"/>
              </w:rPr>
              <w:t xml:space="preserve"> </w:t>
            </w:r>
          </w:p>
        </w:tc>
        <w:tc>
          <w:tcPr>
            <w:tcW w:w="600" w:type="dxa"/>
          </w:tcPr>
          <w:p>
            <w:pPr>
              <w:pStyle w:val="45"/>
              <w:spacing w:before="62"/>
              <w:ind w:left="111"/>
              <w:rPr>
                <w:color w:val="auto"/>
                <w:sz w:val="18"/>
              </w:rPr>
            </w:pPr>
            <w:r>
              <w:rPr>
                <w:color w:val="auto"/>
                <w:sz w:val="18"/>
              </w:rPr>
              <w:t xml:space="preserve"> </w:t>
            </w:r>
          </w:p>
        </w:tc>
        <w:tc>
          <w:tcPr>
            <w:tcW w:w="480" w:type="dxa"/>
          </w:tcPr>
          <w:p>
            <w:pPr>
              <w:pStyle w:val="45"/>
              <w:spacing w:before="62"/>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122"/>
              <w:ind w:left="108" w:leftChars="0"/>
              <w:rPr>
                <w:color w:val="auto"/>
                <w:sz w:val="18"/>
              </w:rPr>
            </w:pPr>
            <w:r>
              <w:rPr>
                <w:color w:val="auto"/>
                <w:sz w:val="18"/>
              </w:rPr>
              <w:t xml:space="preserve">营业执照 </w:t>
            </w:r>
          </w:p>
        </w:tc>
        <w:tc>
          <w:tcPr>
            <w:tcW w:w="4477" w:type="dxa"/>
            <w:vAlign w:val="top"/>
          </w:tcPr>
          <w:p>
            <w:pPr>
              <w:pStyle w:val="45"/>
              <w:spacing w:before="122"/>
              <w:ind w:left="1160" w:leftChars="0"/>
              <w:rPr>
                <w:color w:val="auto"/>
                <w:sz w:val="18"/>
              </w:rPr>
            </w:pPr>
            <w:r>
              <w:rPr>
                <w:color w:val="auto"/>
                <w:sz w:val="18"/>
              </w:rPr>
              <w:t xml:space="preserve">投标人具有有效的营业执照 </w:t>
            </w:r>
          </w:p>
        </w:tc>
        <w:tc>
          <w:tcPr>
            <w:tcW w:w="660" w:type="dxa"/>
          </w:tcPr>
          <w:p>
            <w:pPr>
              <w:pStyle w:val="45"/>
              <w:spacing w:before="122"/>
              <w:ind w:left="111"/>
              <w:rPr>
                <w:color w:val="auto"/>
                <w:sz w:val="18"/>
              </w:rPr>
            </w:pPr>
            <w:r>
              <w:rPr>
                <w:color w:val="auto"/>
                <w:sz w:val="18"/>
              </w:rPr>
              <w:t xml:space="preserve"> </w:t>
            </w:r>
          </w:p>
        </w:tc>
        <w:tc>
          <w:tcPr>
            <w:tcW w:w="600" w:type="dxa"/>
          </w:tcPr>
          <w:p>
            <w:pPr>
              <w:pStyle w:val="45"/>
              <w:spacing w:before="122"/>
              <w:ind w:left="111"/>
              <w:rPr>
                <w:color w:val="auto"/>
                <w:sz w:val="18"/>
              </w:rPr>
            </w:pPr>
            <w:r>
              <w:rPr>
                <w:color w:val="auto"/>
                <w:sz w:val="18"/>
              </w:rPr>
              <w:t xml:space="preserve"> </w:t>
            </w:r>
          </w:p>
        </w:tc>
        <w:tc>
          <w:tcPr>
            <w:tcW w:w="480" w:type="dxa"/>
          </w:tcPr>
          <w:p>
            <w:pPr>
              <w:pStyle w:val="45"/>
              <w:spacing w:before="122"/>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9"/>
              <w:rPr>
                <w:color w:val="auto"/>
                <w:sz w:val="12"/>
              </w:rPr>
            </w:pPr>
          </w:p>
          <w:p>
            <w:pPr>
              <w:pStyle w:val="45"/>
              <w:spacing w:line="364" w:lineRule="auto"/>
              <w:ind w:left="108" w:leftChars="0" w:right="245" w:rightChars="0"/>
              <w:rPr>
                <w:color w:val="auto"/>
                <w:sz w:val="18"/>
              </w:rPr>
            </w:pPr>
            <w:r>
              <w:rPr>
                <w:color w:val="auto"/>
                <w:sz w:val="18"/>
              </w:rPr>
              <w:t xml:space="preserve">资质等级（带二维码的扫描件） </w:t>
            </w:r>
          </w:p>
        </w:tc>
        <w:tc>
          <w:tcPr>
            <w:tcW w:w="4477" w:type="dxa"/>
            <w:vAlign w:val="top"/>
          </w:tcPr>
          <w:p>
            <w:pPr>
              <w:pStyle w:val="45"/>
              <w:spacing w:before="5"/>
              <w:rPr>
                <w:color w:val="auto"/>
                <w:sz w:val="26"/>
              </w:rPr>
            </w:pPr>
          </w:p>
          <w:p>
            <w:pPr>
              <w:pStyle w:val="45"/>
              <w:ind w:left="800" w:leftChars="0"/>
              <w:rPr>
                <w:color w:val="auto"/>
                <w:sz w:val="18"/>
              </w:rPr>
            </w:pPr>
            <w:r>
              <w:rPr>
                <w:color w:val="auto"/>
                <w:sz w:val="18"/>
              </w:rPr>
              <w:t xml:space="preserve">投标人资质等级符合招标文件要求。 </w:t>
            </w:r>
          </w:p>
        </w:tc>
        <w:tc>
          <w:tcPr>
            <w:tcW w:w="660" w:type="dxa"/>
          </w:tcPr>
          <w:p>
            <w:pPr>
              <w:pStyle w:val="45"/>
              <w:spacing w:before="5"/>
              <w:rPr>
                <w:color w:val="auto"/>
                <w:sz w:val="26"/>
              </w:rPr>
            </w:pPr>
          </w:p>
          <w:p>
            <w:pPr>
              <w:pStyle w:val="45"/>
              <w:ind w:left="111"/>
              <w:rPr>
                <w:color w:val="auto"/>
                <w:sz w:val="18"/>
              </w:rPr>
            </w:pPr>
            <w:r>
              <w:rPr>
                <w:color w:val="auto"/>
                <w:sz w:val="18"/>
              </w:rPr>
              <w:t xml:space="preserve"> </w:t>
            </w:r>
          </w:p>
        </w:tc>
        <w:tc>
          <w:tcPr>
            <w:tcW w:w="600" w:type="dxa"/>
          </w:tcPr>
          <w:p>
            <w:pPr>
              <w:pStyle w:val="45"/>
              <w:spacing w:before="5"/>
              <w:rPr>
                <w:color w:val="auto"/>
                <w:sz w:val="26"/>
              </w:rPr>
            </w:pPr>
          </w:p>
          <w:p>
            <w:pPr>
              <w:pStyle w:val="45"/>
              <w:ind w:left="111"/>
              <w:rPr>
                <w:color w:val="auto"/>
                <w:sz w:val="18"/>
              </w:rPr>
            </w:pPr>
            <w:r>
              <w:rPr>
                <w:color w:val="auto"/>
                <w:sz w:val="18"/>
              </w:rPr>
              <w:t xml:space="preserve"> </w:t>
            </w:r>
          </w:p>
        </w:tc>
        <w:tc>
          <w:tcPr>
            <w:tcW w:w="480" w:type="dxa"/>
          </w:tcPr>
          <w:p>
            <w:pPr>
              <w:pStyle w:val="45"/>
              <w:spacing w:before="5"/>
              <w:rPr>
                <w:color w:val="auto"/>
                <w:sz w:val="26"/>
              </w:rPr>
            </w:pPr>
          </w:p>
          <w:p>
            <w:pPr>
              <w:pStyle w:val="45"/>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line="229" w:lineRule="exact"/>
              <w:ind w:left="108"/>
              <w:rPr>
                <w:color w:val="auto"/>
                <w:sz w:val="18"/>
              </w:rPr>
            </w:pPr>
            <w:r>
              <w:rPr>
                <w:color w:val="auto"/>
                <w:sz w:val="18"/>
              </w:rPr>
              <w:t>企业安全生产许可证</w:t>
            </w:r>
          </w:p>
          <w:p>
            <w:pPr>
              <w:pStyle w:val="45"/>
              <w:spacing w:before="119"/>
              <w:ind w:left="108" w:leftChars="0"/>
              <w:rPr>
                <w:color w:val="auto"/>
                <w:sz w:val="18"/>
              </w:rPr>
            </w:pPr>
            <w:r>
              <w:rPr>
                <w:color w:val="auto"/>
                <w:sz w:val="18"/>
              </w:rPr>
              <w:t xml:space="preserve">副本 </w:t>
            </w:r>
          </w:p>
        </w:tc>
        <w:tc>
          <w:tcPr>
            <w:tcW w:w="4477" w:type="dxa"/>
            <w:vAlign w:val="top"/>
          </w:tcPr>
          <w:p>
            <w:pPr>
              <w:pStyle w:val="45"/>
              <w:spacing w:before="6"/>
              <w:rPr>
                <w:color w:val="auto"/>
                <w:sz w:val="13"/>
              </w:rPr>
            </w:pPr>
          </w:p>
          <w:p>
            <w:pPr>
              <w:pStyle w:val="45"/>
              <w:ind w:left="619" w:leftChars="0"/>
              <w:rPr>
                <w:color w:val="auto"/>
                <w:sz w:val="18"/>
              </w:rPr>
            </w:pPr>
            <w:r>
              <w:rPr>
                <w:color w:val="auto"/>
                <w:sz w:val="18"/>
              </w:rPr>
              <w:t xml:space="preserve">投标人具有有效的企业安全生产许可证。 </w:t>
            </w:r>
          </w:p>
        </w:tc>
        <w:tc>
          <w:tcPr>
            <w:tcW w:w="660" w:type="dxa"/>
          </w:tcPr>
          <w:p>
            <w:pPr>
              <w:pStyle w:val="45"/>
              <w:spacing w:line="229" w:lineRule="exact"/>
              <w:ind w:left="111"/>
              <w:rPr>
                <w:color w:val="auto"/>
                <w:sz w:val="18"/>
              </w:rPr>
            </w:pPr>
            <w:r>
              <w:rPr>
                <w:color w:val="auto"/>
                <w:sz w:val="18"/>
              </w:rPr>
              <w:t xml:space="preserve"> </w:t>
            </w:r>
          </w:p>
        </w:tc>
        <w:tc>
          <w:tcPr>
            <w:tcW w:w="600" w:type="dxa"/>
          </w:tcPr>
          <w:p>
            <w:pPr>
              <w:pStyle w:val="45"/>
              <w:spacing w:line="229" w:lineRule="exact"/>
              <w:ind w:left="111"/>
              <w:rPr>
                <w:color w:val="auto"/>
                <w:sz w:val="18"/>
              </w:rPr>
            </w:pPr>
            <w:r>
              <w:rPr>
                <w:color w:val="auto"/>
                <w:sz w:val="18"/>
              </w:rPr>
              <w:t xml:space="preserve"> </w:t>
            </w:r>
          </w:p>
        </w:tc>
        <w:tc>
          <w:tcPr>
            <w:tcW w:w="480" w:type="dxa"/>
          </w:tcPr>
          <w:p>
            <w:pPr>
              <w:pStyle w:val="45"/>
              <w:spacing w:line="229" w:lineRule="exact"/>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119"/>
              <w:ind w:left="108" w:leftChars="0"/>
              <w:rPr>
                <w:color w:val="auto"/>
                <w:sz w:val="18"/>
              </w:rPr>
            </w:pPr>
            <w:r>
              <w:rPr>
                <w:color w:val="auto"/>
                <w:sz w:val="18"/>
              </w:rPr>
              <w:t>项目经理（兼任施工负责人）</w:t>
            </w:r>
          </w:p>
        </w:tc>
        <w:tc>
          <w:tcPr>
            <w:tcW w:w="4477" w:type="dxa"/>
            <w:vAlign w:val="top"/>
          </w:tcPr>
          <w:p>
            <w:pPr>
              <w:pStyle w:val="45"/>
              <w:spacing w:before="6"/>
              <w:rPr>
                <w:color w:val="auto"/>
                <w:sz w:val="13"/>
              </w:rPr>
            </w:pPr>
          </w:p>
          <w:p>
            <w:pPr>
              <w:pStyle w:val="45"/>
              <w:ind w:firstLine="360" w:firstLineChars="200"/>
              <w:rPr>
                <w:color w:val="auto"/>
                <w:sz w:val="18"/>
              </w:rPr>
            </w:pPr>
            <w:r>
              <w:rPr>
                <w:color w:val="auto"/>
                <w:sz w:val="18"/>
              </w:rPr>
              <w:t xml:space="preserve">项目经理（兼任施工负责人）符合招标文件要求。 </w:t>
            </w:r>
          </w:p>
        </w:tc>
        <w:tc>
          <w:tcPr>
            <w:tcW w:w="660" w:type="dxa"/>
          </w:tcPr>
          <w:p>
            <w:pPr>
              <w:pStyle w:val="45"/>
              <w:spacing w:line="228" w:lineRule="exact"/>
              <w:ind w:left="111"/>
              <w:rPr>
                <w:color w:val="auto"/>
                <w:sz w:val="18"/>
              </w:rPr>
            </w:pPr>
            <w:r>
              <w:rPr>
                <w:color w:val="auto"/>
                <w:sz w:val="18"/>
              </w:rPr>
              <w:t xml:space="preserve"> </w:t>
            </w:r>
          </w:p>
        </w:tc>
        <w:tc>
          <w:tcPr>
            <w:tcW w:w="600" w:type="dxa"/>
          </w:tcPr>
          <w:p>
            <w:pPr>
              <w:pStyle w:val="45"/>
              <w:spacing w:line="228" w:lineRule="exact"/>
              <w:ind w:left="111"/>
              <w:rPr>
                <w:color w:val="auto"/>
                <w:sz w:val="18"/>
              </w:rPr>
            </w:pPr>
            <w:r>
              <w:rPr>
                <w:color w:val="auto"/>
                <w:sz w:val="18"/>
              </w:rPr>
              <w:t xml:space="preserve"> </w:t>
            </w:r>
          </w:p>
        </w:tc>
        <w:tc>
          <w:tcPr>
            <w:tcW w:w="480" w:type="dxa"/>
          </w:tcPr>
          <w:p>
            <w:pPr>
              <w:pStyle w:val="45"/>
              <w:spacing w:line="228" w:lineRule="exact"/>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1"/>
              <w:rPr>
                <w:color w:val="auto"/>
                <w:sz w:val="13"/>
              </w:rPr>
            </w:pPr>
          </w:p>
          <w:p>
            <w:pPr>
              <w:pStyle w:val="45"/>
              <w:ind w:left="108" w:leftChars="0"/>
              <w:rPr>
                <w:color w:val="auto"/>
                <w:sz w:val="18"/>
              </w:rPr>
            </w:pPr>
            <w:r>
              <w:rPr>
                <w:color w:val="auto"/>
                <w:sz w:val="18"/>
              </w:rPr>
              <w:t xml:space="preserve">项目设计负责人资格 </w:t>
            </w:r>
          </w:p>
        </w:tc>
        <w:tc>
          <w:tcPr>
            <w:tcW w:w="4477" w:type="dxa"/>
            <w:vAlign w:val="top"/>
          </w:tcPr>
          <w:p>
            <w:pPr>
              <w:pStyle w:val="45"/>
              <w:spacing w:before="1"/>
              <w:rPr>
                <w:color w:val="auto"/>
                <w:sz w:val="13"/>
              </w:rPr>
            </w:pPr>
          </w:p>
          <w:p>
            <w:pPr>
              <w:pStyle w:val="45"/>
              <w:ind w:left="800" w:leftChars="0"/>
              <w:rPr>
                <w:color w:val="auto"/>
                <w:sz w:val="18"/>
              </w:rPr>
            </w:pPr>
            <w:r>
              <w:rPr>
                <w:color w:val="auto"/>
                <w:sz w:val="18"/>
              </w:rPr>
              <w:t xml:space="preserve">项目设计负责人符合招标文件要求。 </w:t>
            </w:r>
          </w:p>
        </w:tc>
        <w:tc>
          <w:tcPr>
            <w:tcW w:w="660" w:type="dxa"/>
          </w:tcPr>
          <w:p>
            <w:pPr>
              <w:pStyle w:val="45"/>
              <w:spacing w:line="228" w:lineRule="exact"/>
              <w:ind w:left="111"/>
              <w:rPr>
                <w:color w:val="auto"/>
                <w:sz w:val="18"/>
              </w:rPr>
            </w:pPr>
            <w:r>
              <w:rPr>
                <w:color w:val="auto"/>
                <w:sz w:val="18"/>
              </w:rPr>
              <w:t xml:space="preserve"> </w:t>
            </w:r>
          </w:p>
        </w:tc>
        <w:tc>
          <w:tcPr>
            <w:tcW w:w="600" w:type="dxa"/>
          </w:tcPr>
          <w:p>
            <w:pPr>
              <w:pStyle w:val="45"/>
              <w:spacing w:line="228" w:lineRule="exact"/>
              <w:ind w:left="111"/>
              <w:rPr>
                <w:color w:val="auto"/>
                <w:sz w:val="18"/>
              </w:rPr>
            </w:pPr>
            <w:r>
              <w:rPr>
                <w:color w:val="auto"/>
                <w:sz w:val="18"/>
              </w:rPr>
              <w:t xml:space="preserve"> </w:t>
            </w:r>
          </w:p>
        </w:tc>
        <w:tc>
          <w:tcPr>
            <w:tcW w:w="480" w:type="dxa"/>
          </w:tcPr>
          <w:p>
            <w:pPr>
              <w:pStyle w:val="45"/>
              <w:spacing w:line="228" w:lineRule="exact"/>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88"/>
              <w:ind w:left="108" w:leftChars="0"/>
              <w:rPr>
                <w:color w:val="auto"/>
                <w:sz w:val="18"/>
              </w:rPr>
            </w:pPr>
            <w:r>
              <w:rPr>
                <w:color w:val="auto"/>
                <w:sz w:val="18"/>
              </w:rPr>
              <w:t xml:space="preserve">施工技术负责人资格 </w:t>
            </w:r>
          </w:p>
        </w:tc>
        <w:tc>
          <w:tcPr>
            <w:tcW w:w="4477" w:type="dxa"/>
            <w:vAlign w:val="top"/>
          </w:tcPr>
          <w:p>
            <w:pPr>
              <w:pStyle w:val="45"/>
              <w:spacing w:before="88"/>
              <w:ind w:left="888" w:leftChars="0"/>
              <w:rPr>
                <w:color w:val="auto"/>
                <w:sz w:val="18"/>
              </w:rPr>
            </w:pPr>
            <w:r>
              <w:rPr>
                <w:color w:val="auto"/>
                <w:sz w:val="18"/>
              </w:rPr>
              <w:t xml:space="preserve">施工技术负责人符合招标文件要求 </w:t>
            </w:r>
          </w:p>
        </w:tc>
        <w:tc>
          <w:tcPr>
            <w:tcW w:w="660" w:type="dxa"/>
          </w:tcPr>
          <w:p>
            <w:pPr>
              <w:pStyle w:val="45"/>
              <w:spacing w:line="228" w:lineRule="exact"/>
              <w:ind w:left="111"/>
              <w:rPr>
                <w:color w:val="auto"/>
                <w:sz w:val="18"/>
              </w:rPr>
            </w:pPr>
            <w:r>
              <w:rPr>
                <w:color w:val="auto"/>
                <w:sz w:val="18"/>
              </w:rPr>
              <w:t xml:space="preserve"> </w:t>
            </w:r>
          </w:p>
        </w:tc>
        <w:tc>
          <w:tcPr>
            <w:tcW w:w="600" w:type="dxa"/>
          </w:tcPr>
          <w:p>
            <w:pPr>
              <w:pStyle w:val="45"/>
              <w:spacing w:line="228" w:lineRule="exact"/>
              <w:ind w:left="111"/>
              <w:rPr>
                <w:color w:val="auto"/>
                <w:sz w:val="18"/>
              </w:rPr>
            </w:pPr>
            <w:r>
              <w:rPr>
                <w:color w:val="auto"/>
                <w:sz w:val="18"/>
              </w:rPr>
              <w:t xml:space="preserve"> </w:t>
            </w:r>
          </w:p>
        </w:tc>
        <w:tc>
          <w:tcPr>
            <w:tcW w:w="480" w:type="dxa"/>
          </w:tcPr>
          <w:p>
            <w:pPr>
              <w:pStyle w:val="45"/>
              <w:spacing w:line="228" w:lineRule="exact"/>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line="362" w:lineRule="auto"/>
              <w:ind w:left="108" w:right="244"/>
              <w:jc w:val="both"/>
              <w:rPr>
                <w:color w:val="auto"/>
                <w:sz w:val="18"/>
              </w:rPr>
            </w:pPr>
            <w:r>
              <w:rPr>
                <w:color w:val="auto"/>
                <w:sz w:val="18"/>
              </w:rPr>
              <w:t>项目经理（兼任施工负责人）</w:t>
            </w:r>
            <w:r>
              <w:rPr>
                <w:color w:val="auto"/>
                <w:spacing w:val="-4"/>
                <w:sz w:val="18"/>
              </w:rPr>
              <w:t>、设计负责</w:t>
            </w:r>
            <w:r>
              <w:rPr>
                <w:color w:val="auto"/>
                <w:spacing w:val="-2"/>
                <w:sz w:val="18"/>
              </w:rPr>
              <w:t>人、施工技术负责人</w:t>
            </w:r>
          </w:p>
          <w:p>
            <w:pPr>
              <w:pStyle w:val="45"/>
              <w:spacing w:before="2"/>
              <w:ind w:left="108" w:leftChars="0"/>
              <w:rPr>
                <w:color w:val="auto"/>
                <w:sz w:val="18"/>
              </w:rPr>
            </w:pPr>
            <w:r>
              <w:rPr>
                <w:color w:val="auto"/>
                <w:sz w:val="18"/>
              </w:rPr>
              <w:t xml:space="preserve">在本单位的社保证明 </w:t>
            </w:r>
          </w:p>
        </w:tc>
        <w:tc>
          <w:tcPr>
            <w:tcW w:w="4477" w:type="dxa"/>
            <w:vAlign w:val="top"/>
          </w:tcPr>
          <w:p>
            <w:pPr>
              <w:pStyle w:val="45"/>
              <w:spacing w:before="6"/>
              <w:rPr>
                <w:color w:val="auto"/>
                <w:sz w:val="13"/>
              </w:rPr>
            </w:pPr>
          </w:p>
          <w:p>
            <w:pPr>
              <w:pStyle w:val="45"/>
              <w:spacing w:line="364" w:lineRule="auto"/>
              <w:ind w:left="123" w:leftChars="0" w:right="110" w:rightChars="0"/>
              <w:jc w:val="center"/>
              <w:rPr>
                <w:color w:val="auto"/>
                <w:sz w:val="13"/>
              </w:rPr>
            </w:pPr>
            <w:r>
              <w:rPr>
                <w:color w:val="auto"/>
                <w:sz w:val="18"/>
              </w:rPr>
              <w:t>项目经理（兼任施工负责人）、施工负责人及设计负责人、施工技术负责人在本单位具有连续近6个月的社保证明，否则为不合格投标人。</w:t>
            </w:r>
            <w:r>
              <w:rPr>
                <w:color w:val="auto"/>
                <w:w w:val="99"/>
                <w:sz w:val="13"/>
              </w:rPr>
              <w:t xml:space="preserve"> </w:t>
            </w:r>
          </w:p>
        </w:tc>
        <w:tc>
          <w:tcPr>
            <w:tcW w:w="660" w:type="dxa"/>
          </w:tcPr>
          <w:p>
            <w:pPr>
              <w:pStyle w:val="45"/>
              <w:rPr>
                <w:color w:val="auto"/>
                <w:sz w:val="18"/>
              </w:rPr>
            </w:pPr>
          </w:p>
          <w:p>
            <w:pPr>
              <w:pStyle w:val="45"/>
              <w:spacing w:before="10"/>
              <w:rPr>
                <w:color w:val="auto"/>
              </w:rPr>
            </w:pPr>
          </w:p>
          <w:p>
            <w:pPr>
              <w:pStyle w:val="45"/>
              <w:ind w:left="111"/>
              <w:rPr>
                <w:color w:val="auto"/>
                <w:sz w:val="18"/>
              </w:rPr>
            </w:pPr>
            <w:r>
              <w:rPr>
                <w:color w:val="auto"/>
                <w:sz w:val="18"/>
              </w:rPr>
              <w:t xml:space="preserve"> </w:t>
            </w:r>
          </w:p>
        </w:tc>
        <w:tc>
          <w:tcPr>
            <w:tcW w:w="600" w:type="dxa"/>
          </w:tcPr>
          <w:p>
            <w:pPr>
              <w:pStyle w:val="45"/>
              <w:rPr>
                <w:color w:val="auto"/>
                <w:sz w:val="18"/>
              </w:rPr>
            </w:pPr>
          </w:p>
          <w:p>
            <w:pPr>
              <w:pStyle w:val="45"/>
              <w:spacing w:before="10"/>
              <w:rPr>
                <w:color w:val="auto"/>
              </w:rPr>
            </w:pPr>
          </w:p>
          <w:p>
            <w:pPr>
              <w:pStyle w:val="45"/>
              <w:ind w:left="111"/>
              <w:rPr>
                <w:color w:val="auto"/>
                <w:sz w:val="18"/>
              </w:rPr>
            </w:pPr>
            <w:r>
              <w:rPr>
                <w:color w:val="auto"/>
                <w:sz w:val="18"/>
              </w:rPr>
              <w:t xml:space="preserve"> </w:t>
            </w:r>
          </w:p>
        </w:tc>
        <w:tc>
          <w:tcPr>
            <w:tcW w:w="480" w:type="dxa"/>
          </w:tcPr>
          <w:p>
            <w:pPr>
              <w:pStyle w:val="45"/>
              <w:rPr>
                <w:color w:val="auto"/>
                <w:sz w:val="18"/>
              </w:rPr>
            </w:pPr>
          </w:p>
          <w:p>
            <w:pPr>
              <w:pStyle w:val="45"/>
              <w:spacing w:before="10"/>
              <w:rPr>
                <w:color w:val="auto"/>
              </w:rPr>
            </w:pPr>
          </w:p>
          <w:p>
            <w:pPr>
              <w:pStyle w:val="45"/>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1"/>
              <w:rPr>
                <w:color w:val="auto"/>
                <w:sz w:val="13"/>
              </w:rPr>
            </w:pPr>
          </w:p>
          <w:p>
            <w:pPr>
              <w:pStyle w:val="45"/>
              <w:ind w:left="362" w:leftChars="0"/>
              <w:rPr>
                <w:color w:val="auto"/>
                <w:sz w:val="18"/>
              </w:rPr>
            </w:pPr>
            <w:r>
              <w:rPr>
                <w:color w:val="auto"/>
                <w:sz w:val="18"/>
              </w:rPr>
              <w:t xml:space="preserve">资格要求的业绩 </w:t>
            </w:r>
          </w:p>
        </w:tc>
        <w:tc>
          <w:tcPr>
            <w:tcW w:w="4477" w:type="dxa"/>
            <w:vAlign w:val="top"/>
          </w:tcPr>
          <w:p>
            <w:pPr>
              <w:pStyle w:val="45"/>
              <w:spacing w:before="1"/>
              <w:rPr>
                <w:color w:val="auto"/>
                <w:sz w:val="13"/>
              </w:rPr>
            </w:pPr>
          </w:p>
          <w:p>
            <w:pPr>
              <w:pStyle w:val="45"/>
              <w:ind w:left="708" w:leftChars="0"/>
              <w:rPr>
                <w:color w:val="auto"/>
                <w:sz w:val="18"/>
              </w:rPr>
            </w:pPr>
            <w:r>
              <w:rPr>
                <w:color w:val="auto"/>
                <w:sz w:val="18"/>
              </w:rPr>
              <w:t xml:space="preserve">投标人具有招标文件要求的类似业绩。 </w:t>
            </w:r>
          </w:p>
        </w:tc>
        <w:tc>
          <w:tcPr>
            <w:tcW w:w="660" w:type="dxa"/>
          </w:tcPr>
          <w:p>
            <w:pPr>
              <w:pStyle w:val="45"/>
              <w:spacing w:before="1"/>
              <w:rPr>
                <w:color w:val="auto"/>
                <w:sz w:val="13"/>
              </w:rPr>
            </w:pPr>
          </w:p>
          <w:p>
            <w:pPr>
              <w:pStyle w:val="45"/>
              <w:ind w:left="111"/>
              <w:rPr>
                <w:color w:val="auto"/>
                <w:sz w:val="18"/>
              </w:rPr>
            </w:pPr>
            <w:r>
              <w:rPr>
                <w:color w:val="auto"/>
                <w:sz w:val="18"/>
              </w:rPr>
              <w:t xml:space="preserve"> </w:t>
            </w:r>
          </w:p>
        </w:tc>
        <w:tc>
          <w:tcPr>
            <w:tcW w:w="600" w:type="dxa"/>
          </w:tcPr>
          <w:p>
            <w:pPr>
              <w:pStyle w:val="45"/>
              <w:spacing w:before="1"/>
              <w:rPr>
                <w:color w:val="auto"/>
                <w:sz w:val="13"/>
              </w:rPr>
            </w:pPr>
          </w:p>
          <w:p>
            <w:pPr>
              <w:pStyle w:val="45"/>
              <w:ind w:left="111"/>
              <w:rPr>
                <w:color w:val="auto"/>
                <w:sz w:val="18"/>
              </w:rPr>
            </w:pPr>
            <w:r>
              <w:rPr>
                <w:color w:val="auto"/>
                <w:sz w:val="18"/>
              </w:rPr>
              <w:t xml:space="preserve"> </w:t>
            </w:r>
          </w:p>
        </w:tc>
        <w:tc>
          <w:tcPr>
            <w:tcW w:w="480" w:type="dxa"/>
          </w:tcPr>
          <w:p>
            <w:pPr>
              <w:pStyle w:val="45"/>
              <w:spacing w:before="1"/>
              <w:rPr>
                <w:color w:val="auto"/>
                <w:sz w:val="13"/>
              </w:rPr>
            </w:pPr>
          </w:p>
          <w:p>
            <w:pPr>
              <w:pStyle w:val="45"/>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6"/>
              <w:rPr>
                <w:color w:val="auto"/>
                <w:sz w:val="13"/>
              </w:rPr>
            </w:pPr>
          </w:p>
          <w:p>
            <w:pPr>
              <w:pStyle w:val="45"/>
              <w:ind w:left="271" w:leftChars="0"/>
              <w:rPr>
                <w:color w:val="auto"/>
                <w:sz w:val="18"/>
              </w:rPr>
            </w:pPr>
            <w:r>
              <w:rPr>
                <w:color w:val="auto"/>
                <w:sz w:val="18"/>
              </w:rPr>
              <w:t xml:space="preserve">省外企业入湘登记 </w:t>
            </w:r>
          </w:p>
        </w:tc>
        <w:tc>
          <w:tcPr>
            <w:tcW w:w="4477" w:type="dxa"/>
            <w:vAlign w:val="top"/>
          </w:tcPr>
          <w:p>
            <w:pPr>
              <w:pStyle w:val="45"/>
              <w:ind w:left="123" w:right="109"/>
              <w:jc w:val="center"/>
              <w:rPr>
                <w:color w:val="auto"/>
                <w:sz w:val="18"/>
              </w:rPr>
            </w:pPr>
            <w:r>
              <w:rPr>
                <w:color w:val="auto"/>
                <w:sz w:val="18"/>
              </w:rPr>
              <w:t>省外入湘企业在 “湖南省住房和城乡建设网” 进行</w:t>
            </w:r>
          </w:p>
          <w:p>
            <w:pPr>
              <w:pStyle w:val="45"/>
              <w:spacing w:before="117"/>
              <w:ind w:left="123" w:leftChars="0" w:right="22" w:rightChars="0"/>
              <w:jc w:val="center"/>
              <w:rPr>
                <w:color w:val="auto"/>
                <w:sz w:val="18"/>
              </w:rPr>
            </w:pPr>
            <w:r>
              <w:rPr>
                <w:color w:val="auto"/>
                <w:sz w:val="18"/>
              </w:rPr>
              <w:t xml:space="preserve">了基本信息登记 </w:t>
            </w:r>
          </w:p>
        </w:tc>
        <w:tc>
          <w:tcPr>
            <w:tcW w:w="660" w:type="dxa"/>
          </w:tcPr>
          <w:p>
            <w:pPr>
              <w:pStyle w:val="45"/>
              <w:spacing w:before="6"/>
              <w:rPr>
                <w:color w:val="auto"/>
                <w:sz w:val="13"/>
              </w:rPr>
            </w:pPr>
          </w:p>
          <w:p>
            <w:pPr>
              <w:pStyle w:val="45"/>
              <w:ind w:left="111"/>
              <w:rPr>
                <w:color w:val="auto"/>
                <w:sz w:val="18"/>
              </w:rPr>
            </w:pPr>
            <w:r>
              <w:rPr>
                <w:color w:val="auto"/>
                <w:sz w:val="18"/>
              </w:rPr>
              <w:t xml:space="preserve"> </w:t>
            </w:r>
          </w:p>
        </w:tc>
        <w:tc>
          <w:tcPr>
            <w:tcW w:w="600" w:type="dxa"/>
          </w:tcPr>
          <w:p>
            <w:pPr>
              <w:pStyle w:val="45"/>
              <w:spacing w:before="6"/>
              <w:rPr>
                <w:color w:val="auto"/>
                <w:sz w:val="13"/>
              </w:rPr>
            </w:pPr>
          </w:p>
          <w:p>
            <w:pPr>
              <w:pStyle w:val="45"/>
              <w:ind w:left="111"/>
              <w:rPr>
                <w:color w:val="auto"/>
                <w:sz w:val="18"/>
              </w:rPr>
            </w:pPr>
            <w:r>
              <w:rPr>
                <w:color w:val="auto"/>
                <w:sz w:val="18"/>
              </w:rPr>
              <w:t xml:space="preserve"> </w:t>
            </w:r>
          </w:p>
        </w:tc>
        <w:tc>
          <w:tcPr>
            <w:tcW w:w="480" w:type="dxa"/>
          </w:tcPr>
          <w:p>
            <w:pPr>
              <w:pStyle w:val="45"/>
              <w:spacing w:before="6"/>
              <w:rPr>
                <w:color w:val="auto"/>
                <w:sz w:val="13"/>
              </w:rPr>
            </w:pPr>
          </w:p>
          <w:p>
            <w:pPr>
              <w:pStyle w:val="45"/>
              <w:ind w:left="111"/>
              <w:rPr>
                <w:color w:val="auto"/>
                <w:sz w:val="18"/>
              </w:rPr>
            </w:pPr>
            <w:r>
              <w:rPr>
                <w:color w:val="auto"/>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48" w:type="dxa"/>
            <w:vMerge w:val="continue"/>
            <w:tcBorders>
              <w:top w:val="nil"/>
            </w:tcBorders>
          </w:tcPr>
          <w:p>
            <w:pPr>
              <w:rPr>
                <w:color w:val="auto"/>
                <w:sz w:val="2"/>
                <w:szCs w:val="2"/>
              </w:rPr>
            </w:pPr>
          </w:p>
        </w:tc>
        <w:tc>
          <w:tcPr>
            <w:tcW w:w="679" w:type="dxa"/>
            <w:vMerge w:val="continue"/>
            <w:tcBorders>
              <w:top w:val="nil"/>
            </w:tcBorders>
          </w:tcPr>
          <w:p>
            <w:pPr>
              <w:rPr>
                <w:color w:val="auto"/>
                <w:sz w:val="2"/>
                <w:szCs w:val="2"/>
              </w:rPr>
            </w:pPr>
          </w:p>
        </w:tc>
        <w:tc>
          <w:tcPr>
            <w:tcW w:w="1985" w:type="dxa"/>
            <w:vAlign w:val="top"/>
          </w:tcPr>
          <w:p>
            <w:pPr>
              <w:pStyle w:val="45"/>
              <w:spacing w:before="1"/>
              <w:rPr>
                <w:color w:val="auto"/>
                <w:sz w:val="13"/>
              </w:rPr>
            </w:pPr>
          </w:p>
          <w:p>
            <w:pPr>
              <w:pStyle w:val="45"/>
              <w:ind w:left="631" w:leftChars="0"/>
              <w:rPr>
                <w:color w:val="auto"/>
                <w:sz w:val="18"/>
              </w:rPr>
            </w:pPr>
            <w:r>
              <w:rPr>
                <w:color w:val="auto"/>
                <w:sz w:val="18"/>
              </w:rPr>
              <w:t xml:space="preserve">投标保证 </w:t>
            </w:r>
          </w:p>
        </w:tc>
        <w:tc>
          <w:tcPr>
            <w:tcW w:w="4477" w:type="dxa"/>
            <w:vAlign w:val="top"/>
          </w:tcPr>
          <w:p>
            <w:pPr>
              <w:pStyle w:val="45"/>
              <w:spacing w:before="1"/>
              <w:rPr>
                <w:color w:val="auto"/>
                <w:sz w:val="13"/>
              </w:rPr>
            </w:pPr>
          </w:p>
          <w:p>
            <w:pPr>
              <w:pStyle w:val="45"/>
              <w:ind w:left="888" w:leftChars="0"/>
              <w:rPr>
                <w:color w:val="auto"/>
                <w:sz w:val="18"/>
              </w:rPr>
            </w:pPr>
            <w:r>
              <w:rPr>
                <w:color w:val="auto"/>
                <w:sz w:val="18"/>
              </w:rPr>
              <w:t xml:space="preserve">投标保证是否符合招标文件的要求 </w:t>
            </w:r>
          </w:p>
        </w:tc>
        <w:tc>
          <w:tcPr>
            <w:tcW w:w="660" w:type="dxa"/>
          </w:tcPr>
          <w:p>
            <w:pPr>
              <w:pStyle w:val="45"/>
              <w:spacing w:before="1"/>
              <w:rPr>
                <w:color w:val="auto"/>
                <w:sz w:val="13"/>
              </w:rPr>
            </w:pPr>
          </w:p>
          <w:p>
            <w:pPr>
              <w:pStyle w:val="45"/>
              <w:ind w:left="111"/>
              <w:rPr>
                <w:color w:val="auto"/>
                <w:sz w:val="18"/>
              </w:rPr>
            </w:pPr>
            <w:r>
              <w:rPr>
                <w:color w:val="auto"/>
                <w:sz w:val="18"/>
              </w:rPr>
              <w:t xml:space="preserve"> </w:t>
            </w:r>
          </w:p>
        </w:tc>
        <w:tc>
          <w:tcPr>
            <w:tcW w:w="600" w:type="dxa"/>
          </w:tcPr>
          <w:p>
            <w:pPr>
              <w:pStyle w:val="45"/>
              <w:spacing w:before="1"/>
              <w:rPr>
                <w:color w:val="auto"/>
                <w:sz w:val="13"/>
              </w:rPr>
            </w:pPr>
          </w:p>
          <w:p>
            <w:pPr>
              <w:pStyle w:val="45"/>
              <w:ind w:left="111"/>
              <w:rPr>
                <w:color w:val="auto"/>
                <w:sz w:val="18"/>
              </w:rPr>
            </w:pPr>
            <w:r>
              <w:rPr>
                <w:color w:val="auto"/>
                <w:sz w:val="18"/>
              </w:rPr>
              <w:t xml:space="preserve"> </w:t>
            </w:r>
          </w:p>
        </w:tc>
        <w:tc>
          <w:tcPr>
            <w:tcW w:w="480" w:type="dxa"/>
          </w:tcPr>
          <w:p>
            <w:pPr>
              <w:pStyle w:val="45"/>
              <w:spacing w:before="1"/>
              <w:rPr>
                <w:color w:val="auto"/>
                <w:sz w:val="13"/>
              </w:rPr>
            </w:pPr>
          </w:p>
          <w:p>
            <w:pPr>
              <w:pStyle w:val="45"/>
              <w:ind w:left="111"/>
              <w:rPr>
                <w:color w:val="auto"/>
                <w:sz w:val="18"/>
              </w:rPr>
            </w:pPr>
            <w:r>
              <w:rPr>
                <w:color w:val="auto"/>
                <w:sz w:val="18"/>
              </w:rPr>
              <w:t xml:space="preserve"> </w:t>
            </w:r>
          </w:p>
        </w:tc>
      </w:tr>
    </w:tbl>
    <w:p>
      <w:pPr>
        <w:spacing w:before="1" w:line="364" w:lineRule="auto"/>
        <w:ind w:left="820" w:right="448" w:firstLine="19"/>
        <w:rPr>
          <w:color w:val="auto"/>
        </w:rPr>
      </w:pPr>
      <w:r>
        <w:rPr>
          <w:color w:val="auto"/>
          <w:spacing w:val="-3"/>
        </w:rPr>
        <w:t>备注：以上内容合格的打“√”，不合格的打“×”，有一项不合格则结论为不合格。评标委员会全体成员签字</w:t>
      </w:r>
      <w:r>
        <w:rPr>
          <w:color w:val="auto"/>
        </w:rPr>
        <w:t>/</w:t>
      </w:r>
      <w:r>
        <w:rPr>
          <w:color w:val="auto"/>
          <w:spacing w:val="-1"/>
        </w:rPr>
        <w:t>日期：</w:t>
      </w:r>
      <w:r>
        <w:rPr>
          <w:color w:val="auto"/>
        </w:rPr>
        <w:t xml:space="preserve"> </w:t>
      </w:r>
    </w:p>
    <w:p>
      <w:pPr>
        <w:spacing w:line="364" w:lineRule="auto"/>
        <w:rPr>
          <w:color w:val="auto"/>
        </w:rPr>
        <w:sectPr>
          <w:type w:val="continuous"/>
          <w:pgSz w:w="11900" w:h="16840"/>
          <w:pgMar w:top="1580" w:right="1100" w:bottom="280" w:left="1040" w:header="720" w:footer="720" w:gutter="0"/>
          <w:cols w:space="720" w:num="1"/>
        </w:sectPr>
      </w:pPr>
    </w:p>
    <w:p>
      <w:pPr>
        <w:pStyle w:val="8"/>
        <w:rPr>
          <w:color w:val="auto"/>
          <w:sz w:val="15"/>
        </w:rPr>
      </w:pPr>
    </w:p>
    <w:p>
      <w:pPr>
        <w:pStyle w:val="5"/>
        <w:spacing w:before="66"/>
        <w:rPr>
          <w:color w:val="auto"/>
        </w:rPr>
      </w:pPr>
      <w:bookmarkStart w:id="86" w:name="附表3-5：响应性评审记录表"/>
      <w:bookmarkEnd w:id="86"/>
      <w:r>
        <w:rPr>
          <w:color w:val="auto"/>
        </w:rPr>
        <w:t>附表3-5：响应性评审记录表</w:t>
      </w:r>
    </w:p>
    <w:p>
      <w:pPr>
        <w:pStyle w:val="8"/>
        <w:rPr>
          <w:color w:val="auto"/>
          <w:sz w:val="17"/>
        </w:rPr>
      </w:pPr>
    </w:p>
    <w:p>
      <w:pPr>
        <w:spacing w:before="61"/>
        <w:ind w:left="6221" w:right="5298"/>
        <w:jc w:val="center"/>
        <w:rPr>
          <w:color w:val="auto"/>
          <w:sz w:val="28"/>
        </w:rPr>
      </w:pPr>
      <w:r>
        <w:rPr>
          <w:color w:val="auto"/>
          <w:sz w:val="28"/>
        </w:rPr>
        <w:t>响应性评审记录表</w:t>
      </w:r>
    </w:p>
    <w:p>
      <w:pPr>
        <w:pStyle w:val="8"/>
        <w:spacing w:before="6"/>
        <w:rPr>
          <w:color w:val="auto"/>
          <w:sz w:val="18"/>
        </w:rPr>
      </w:pPr>
    </w:p>
    <w:p>
      <w:pPr>
        <w:spacing w:before="70"/>
        <w:ind w:left="520"/>
        <w:rPr>
          <w:color w:val="auto"/>
        </w:rPr>
      </w:pPr>
      <w:r>
        <w:rPr>
          <w:color w:val="auto"/>
        </w:rPr>
        <w:t xml:space="preserve">工程名称：（项目名称）标段 </w:t>
      </w:r>
    </w:p>
    <w:p>
      <w:pPr>
        <w:pStyle w:val="8"/>
        <w:spacing w:before="1"/>
        <w:rPr>
          <w:color w:val="auto"/>
          <w:sz w:val="17"/>
        </w:rPr>
      </w:pPr>
    </w:p>
    <w:tbl>
      <w:tblPr>
        <w:tblStyle w:val="16"/>
        <w:tblW w:w="13172" w:type="dxa"/>
        <w:tblInd w:w="5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2"/>
        <w:gridCol w:w="1328"/>
        <w:gridCol w:w="4057"/>
        <w:gridCol w:w="797"/>
        <w:gridCol w:w="901"/>
        <w:gridCol w:w="901"/>
        <w:gridCol w:w="901"/>
        <w:gridCol w:w="901"/>
        <w:gridCol w:w="902"/>
        <w:gridCol w:w="901"/>
        <w:gridCol w:w="9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682" w:type="dxa"/>
            <w:vMerge w:val="restart"/>
            <w:tcBorders>
              <w:bottom w:val="single" w:color="000000" w:sz="4" w:space="0"/>
              <w:right w:val="single" w:color="000000" w:sz="4" w:space="0"/>
            </w:tcBorders>
          </w:tcPr>
          <w:p>
            <w:pPr>
              <w:pStyle w:val="45"/>
              <w:spacing w:before="3"/>
              <w:rPr>
                <w:color w:val="auto"/>
                <w:sz w:val="18"/>
              </w:rPr>
            </w:pPr>
          </w:p>
          <w:p>
            <w:pPr>
              <w:pStyle w:val="45"/>
              <w:spacing w:before="1"/>
              <w:ind w:left="160"/>
              <w:rPr>
                <w:color w:val="auto"/>
                <w:sz w:val="18"/>
              </w:rPr>
            </w:pPr>
            <w:r>
              <w:rPr>
                <w:color w:val="auto"/>
                <w:sz w:val="18"/>
              </w:rPr>
              <w:t xml:space="preserve">序号 </w:t>
            </w:r>
          </w:p>
        </w:tc>
        <w:tc>
          <w:tcPr>
            <w:tcW w:w="5385" w:type="dxa"/>
            <w:gridSpan w:val="2"/>
            <w:vMerge w:val="restart"/>
            <w:tcBorders>
              <w:left w:val="single" w:color="000000" w:sz="4" w:space="0"/>
              <w:bottom w:val="single" w:color="000000" w:sz="4" w:space="0"/>
              <w:right w:val="single" w:color="000000" w:sz="4" w:space="0"/>
            </w:tcBorders>
          </w:tcPr>
          <w:p>
            <w:pPr>
              <w:pStyle w:val="45"/>
              <w:spacing w:before="3"/>
              <w:rPr>
                <w:color w:val="auto"/>
                <w:sz w:val="18"/>
              </w:rPr>
            </w:pPr>
          </w:p>
          <w:p>
            <w:pPr>
              <w:pStyle w:val="45"/>
              <w:spacing w:before="1"/>
              <w:ind w:left="2364" w:right="2250"/>
              <w:jc w:val="center"/>
              <w:rPr>
                <w:color w:val="auto"/>
                <w:sz w:val="18"/>
              </w:rPr>
            </w:pPr>
            <w:r>
              <w:rPr>
                <w:color w:val="auto"/>
                <w:sz w:val="18"/>
              </w:rPr>
              <w:t xml:space="preserve">评审因素 </w:t>
            </w:r>
          </w:p>
        </w:tc>
        <w:tc>
          <w:tcPr>
            <w:tcW w:w="7105" w:type="dxa"/>
            <w:gridSpan w:val="8"/>
            <w:tcBorders>
              <w:left w:val="single" w:color="000000" w:sz="4" w:space="0"/>
              <w:bottom w:val="single" w:color="000000" w:sz="4" w:space="0"/>
            </w:tcBorders>
          </w:tcPr>
          <w:p>
            <w:pPr>
              <w:pStyle w:val="45"/>
              <w:spacing w:before="28"/>
              <w:ind w:left="2680" w:right="2565"/>
              <w:jc w:val="center"/>
              <w:rPr>
                <w:color w:val="auto"/>
                <w:sz w:val="18"/>
              </w:rPr>
            </w:pPr>
            <w:r>
              <w:rPr>
                <w:color w:val="auto"/>
                <w:sz w:val="18"/>
              </w:rPr>
              <w:t xml:space="preserve">投标人名称及评审意见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682" w:type="dxa"/>
            <w:vMerge w:val="continue"/>
            <w:tcBorders>
              <w:top w:val="nil"/>
              <w:bottom w:val="single" w:color="000000" w:sz="4" w:space="0"/>
              <w:right w:val="single" w:color="000000" w:sz="4" w:space="0"/>
            </w:tcBorders>
          </w:tcPr>
          <w:p>
            <w:pPr>
              <w:rPr>
                <w:color w:val="auto"/>
                <w:sz w:val="2"/>
                <w:szCs w:val="2"/>
              </w:rPr>
            </w:pPr>
          </w:p>
        </w:tc>
        <w:tc>
          <w:tcPr>
            <w:tcW w:w="5385" w:type="dxa"/>
            <w:gridSpan w:val="2"/>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24"/>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4"/>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4"/>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4"/>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4"/>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24"/>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24"/>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24"/>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682" w:type="dxa"/>
            <w:tcBorders>
              <w:top w:val="single" w:color="000000" w:sz="4" w:space="0"/>
              <w:bottom w:val="single" w:color="000000" w:sz="4" w:space="0"/>
              <w:right w:val="single" w:color="000000" w:sz="4" w:space="0"/>
            </w:tcBorders>
          </w:tcPr>
          <w:p>
            <w:pPr>
              <w:pStyle w:val="45"/>
              <w:spacing w:before="52"/>
              <w:ind w:right="184"/>
              <w:jc w:val="right"/>
              <w:rPr>
                <w:color w:val="auto"/>
                <w:sz w:val="18"/>
              </w:rPr>
            </w:pPr>
            <w:r>
              <w:rPr>
                <w:color w:val="auto"/>
                <w:sz w:val="18"/>
              </w:rPr>
              <w:t xml:space="preserve">1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25"/>
              <w:ind w:left="179" w:right="49"/>
              <w:jc w:val="center"/>
              <w:rPr>
                <w:color w:val="auto"/>
                <w:sz w:val="21"/>
              </w:rPr>
            </w:pPr>
            <w:r>
              <w:rPr>
                <w:color w:val="auto"/>
                <w:sz w:val="21"/>
              </w:rPr>
              <w:t xml:space="preserve">投标报价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94"/>
              <w:ind w:left="116"/>
              <w:rPr>
                <w:color w:val="auto"/>
                <w:sz w:val="21"/>
              </w:rPr>
            </w:pPr>
            <w:r>
              <w:rPr>
                <w:color w:val="auto"/>
                <w:sz w:val="21"/>
              </w:rPr>
              <w:t xml:space="preserve">投标报价否响应招标文件要求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52"/>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52"/>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52"/>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52"/>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52"/>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52"/>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52"/>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52"/>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3" w:hRule="atLeast"/>
        </w:trPr>
        <w:tc>
          <w:tcPr>
            <w:tcW w:w="682" w:type="dxa"/>
            <w:tcBorders>
              <w:top w:val="single" w:color="000000" w:sz="4" w:space="0"/>
              <w:bottom w:val="single" w:color="000000" w:sz="4" w:space="0"/>
              <w:right w:val="single" w:color="000000" w:sz="4" w:space="0"/>
            </w:tcBorders>
          </w:tcPr>
          <w:p>
            <w:pPr>
              <w:pStyle w:val="45"/>
              <w:spacing w:before="7"/>
              <w:rPr>
                <w:color w:val="auto"/>
                <w:sz w:val="17"/>
              </w:rPr>
            </w:pPr>
          </w:p>
          <w:p>
            <w:pPr>
              <w:pStyle w:val="45"/>
              <w:ind w:right="184"/>
              <w:jc w:val="right"/>
              <w:rPr>
                <w:color w:val="auto"/>
                <w:sz w:val="18"/>
              </w:rPr>
            </w:pPr>
            <w:r>
              <w:rPr>
                <w:color w:val="auto"/>
                <w:sz w:val="18"/>
              </w:rPr>
              <w:t xml:space="preserve">2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8"/>
              <w:rPr>
                <w:color w:val="auto"/>
                <w:sz w:val="15"/>
              </w:rPr>
            </w:pPr>
          </w:p>
          <w:p>
            <w:pPr>
              <w:pStyle w:val="45"/>
              <w:ind w:left="179" w:right="49"/>
              <w:jc w:val="center"/>
              <w:rPr>
                <w:color w:val="auto"/>
                <w:sz w:val="21"/>
              </w:rPr>
            </w:pPr>
            <w:r>
              <w:rPr>
                <w:color w:val="auto"/>
                <w:sz w:val="21"/>
              </w:rPr>
              <w:t xml:space="preserve">投标内容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1"/>
              <w:ind w:left="116"/>
              <w:rPr>
                <w:color w:val="auto"/>
                <w:sz w:val="21"/>
              </w:rPr>
            </w:pPr>
            <w:r>
              <w:rPr>
                <w:color w:val="auto"/>
                <w:sz w:val="21"/>
              </w:rPr>
              <w:t>投标文件载明的投标范围不小于招标文件</w:t>
            </w:r>
          </w:p>
          <w:p>
            <w:pPr>
              <w:pStyle w:val="45"/>
              <w:spacing w:before="141"/>
              <w:ind w:left="116"/>
              <w:rPr>
                <w:color w:val="auto"/>
                <w:sz w:val="21"/>
              </w:rPr>
            </w:pPr>
            <w:r>
              <w:rPr>
                <w:color w:val="auto"/>
                <w:sz w:val="21"/>
              </w:rPr>
              <w:t xml:space="preserve">规定的招标范围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
              <w:rPr>
                <w:color w:val="auto"/>
                <w:sz w:val="17"/>
              </w:rPr>
            </w:pPr>
          </w:p>
          <w:p>
            <w:pPr>
              <w:pStyle w:val="45"/>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7"/>
              <w:rPr>
                <w:color w:val="auto"/>
                <w:sz w:val="17"/>
              </w:rPr>
            </w:pPr>
          </w:p>
          <w:p>
            <w:pPr>
              <w:pStyle w:val="45"/>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682" w:type="dxa"/>
            <w:tcBorders>
              <w:top w:val="single" w:color="000000" w:sz="4" w:space="0"/>
              <w:bottom w:val="single" w:color="000000" w:sz="4" w:space="0"/>
              <w:right w:val="single" w:color="000000" w:sz="4" w:space="0"/>
            </w:tcBorders>
          </w:tcPr>
          <w:p>
            <w:pPr>
              <w:pStyle w:val="45"/>
              <w:spacing w:before="1"/>
              <w:rPr>
                <w:color w:val="auto"/>
                <w:sz w:val="13"/>
              </w:rPr>
            </w:pPr>
          </w:p>
          <w:p>
            <w:pPr>
              <w:pStyle w:val="45"/>
              <w:ind w:right="184"/>
              <w:jc w:val="right"/>
              <w:rPr>
                <w:color w:val="auto"/>
                <w:sz w:val="18"/>
              </w:rPr>
            </w:pPr>
            <w:r>
              <w:rPr>
                <w:color w:val="auto"/>
                <w:sz w:val="18"/>
              </w:rPr>
              <w:t xml:space="preserve">3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142"/>
              <w:ind w:left="179" w:right="47"/>
              <w:jc w:val="center"/>
              <w:rPr>
                <w:color w:val="auto"/>
                <w:sz w:val="21"/>
              </w:rPr>
            </w:pPr>
            <w:r>
              <w:rPr>
                <w:color w:val="auto"/>
                <w:sz w:val="21"/>
              </w:rPr>
              <w:t xml:space="preserve">工期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1"/>
              <w:ind w:left="116"/>
              <w:rPr>
                <w:color w:val="auto"/>
                <w:sz w:val="21"/>
              </w:rPr>
            </w:pPr>
            <w:r>
              <w:rPr>
                <w:color w:val="auto"/>
                <w:sz w:val="21"/>
              </w:rPr>
              <w:t>投标文件载明的招标项目完成期限未超过</w:t>
            </w:r>
          </w:p>
          <w:p>
            <w:pPr>
              <w:pStyle w:val="45"/>
              <w:spacing w:before="139" w:line="262" w:lineRule="exact"/>
              <w:ind w:left="116"/>
              <w:rPr>
                <w:color w:val="auto"/>
                <w:sz w:val="21"/>
              </w:rPr>
            </w:pPr>
            <w:r>
              <w:rPr>
                <w:color w:val="auto"/>
                <w:sz w:val="21"/>
              </w:rPr>
              <w:t xml:space="preserve">招标文件要求的期限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3"/>
              </w:rPr>
            </w:pPr>
          </w:p>
          <w:p>
            <w:pPr>
              <w:pStyle w:val="45"/>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1"/>
              <w:rPr>
                <w:color w:val="auto"/>
                <w:sz w:val="13"/>
              </w:rPr>
            </w:pPr>
          </w:p>
          <w:p>
            <w:pPr>
              <w:pStyle w:val="45"/>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trPr>
        <w:tc>
          <w:tcPr>
            <w:tcW w:w="682" w:type="dxa"/>
            <w:tcBorders>
              <w:top w:val="single" w:color="000000" w:sz="4" w:space="0"/>
              <w:bottom w:val="single" w:color="000000" w:sz="4" w:space="0"/>
              <w:right w:val="single" w:color="000000" w:sz="4" w:space="0"/>
            </w:tcBorders>
          </w:tcPr>
          <w:p>
            <w:pPr>
              <w:pStyle w:val="45"/>
              <w:spacing w:before="161"/>
              <w:ind w:right="184"/>
              <w:jc w:val="right"/>
              <w:rPr>
                <w:color w:val="auto"/>
                <w:sz w:val="18"/>
              </w:rPr>
            </w:pPr>
            <w:r>
              <w:rPr>
                <w:color w:val="auto"/>
                <w:sz w:val="18"/>
              </w:rPr>
              <w:t xml:space="preserve">4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1"/>
              <w:ind w:left="145"/>
              <w:rPr>
                <w:color w:val="auto"/>
                <w:sz w:val="21"/>
              </w:rPr>
            </w:pPr>
            <w:r>
              <w:rPr>
                <w:color w:val="auto"/>
                <w:sz w:val="21"/>
              </w:rPr>
              <w:t>工程质量和</w:t>
            </w:r>
          </w:p>
          <w:p>
            <w:pPr>
              <w:pStyle w:val="45"/>
              <w:spacing w:before="139" w:line="247" w:lineRule="exact"/>
              <w:ind w:left="462"/>
              <w:rPr>
                <w:color w:val="auto"/>
                <w:sz w:val="21"/>
              </w:rPr>
            </w:pPr>
            <w:r>
              <w:rPr>
                <w:color w:val="auto"/>
                <w:sz w:val="21"/>
              </w:rPr>
              <w:t xml:space="preserve">保修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68" w:line="242" w:lineRule="auto"/>
              <w:ind w:left="116" w:right="143"/>
              <w:rPr>
                <w:color w:val="auto"/>
                <w:sz w:val="21"/>
              </w:rPr>
            </w:pPr>
            <w:r>
              <w:rPr>
                <w:color w:val="auto"/>
                <w:sz w:val="21"/>
              </w:rPr>
              <w:t xml:space="preserve">投标文件载明的质量标准或保修承诺不低于招标文件的要求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161"/>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61"/>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61"/>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61"/>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61"/>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161"/>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61"/>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161"/>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682" w:type="dxa"/>
            <w:tcBorders>
              <w:top w:val="single" w:color="000000" w:sz="4" w:space="0"/>
              <w:bottom w:val="single" w:color="000000" w:sz="4" w:space="0"/>
              <w:right w:val="single" w:color="000000" w:sz="4" w:space="0"/>
            </w:tcBorders>
          </w:tcPr>
          <w:p>
            <w:pPr>
              <w:pStyle w:val="45"/>
              <w:spacing w:before="74"/>
              <w:ind w:right="184"/>
              <w:jc w:val="right"/>
              <w:rPr>
                <w:color w:val="auto"/>
                <w:sz w:val="18"/>
              </w:rPr>
            </w:pPr>
            <w:r>
              <w:rPr>
                <w:color w:val="auto"/>
                <w:sz w:val="18"/>
              </w:rPr>
              <w:t xml:space="preserve">5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49"/>
              <w:ind w:left="179" w:right="49"/>
              <w:jc w:val="center"/>
              <w:rPr>
                <w:color w:val="auto"/>
                <w:sz w:val="21"/>
              </w:rPr>
            </w:pPr>
            <w:r>
              <w:rPr>
                <w:color w:val="auto"/>
                <w:sz w:val="21"/>
              </w:rPr>
              <w:t xml:space="preserve">投标有效期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1"/>
              <w:ind w:left="116"/>
              <w:rPr>
                <w:rFonts w:hint="eastAsia" w:eastAsia="宋体"/>
                <w:color w:val="auto"/>
                <w:sz w:val="21"/>
                <w:lang w:eastAsia="zh-CN"/>
              </w:rPr>
            </w:pPr>
            <w:r>
              <w:rPr>
                <w:color w:val="auto"/>
                <w:sz w:val="21"/>
              </w:rPr>
              <w:t>投标有效期不短于投标人须知前附表的规</w:t>
            </w:r>
            <w:r>
              <w:rPr>
                <w:rFonts w:hint="eastAsia"/>
                <w:color w:val="auto"/>
                <w:sz w:val="21"/>
                <w:lang w:eastAsia="zh-CN"/>
              </w:rPr>
              <w:t>定</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74"/>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4"/>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4"/>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4"/>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4"/>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74"/>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74"/>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74"/>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trPr>
        <w:tc>
          <w:tcPr>
            <w:tcW w:w="682" w:type="dxa"/>
            <w:tcBorders>
              <w:top w:val="single" w:color="000000" w:sz="4" w:space="0"/>
              <w:bottom w:val="single" w:color="000000" w:sz="4" w:space="0"/>
              <w:right w:val="single" w:color="000000" w:sz="4" w:space="0"/>
            </w:tcBorders>
          </w:tcPr>
          <w:p>
            <w:pPr>
              <w:pStyle w:val="45"/>
              <w:spacing w:before="11"/>
              <w:rPr>
                <w:color w:val="auto"/>
                <w:sz w:val="15"/>
              </w:rPr>
            </w:pPr>
          </w:p>
          <w:p>
            <w:pPr>
              <w:pStyle w:val="45"/>
              <w:ind w:right="184"/>
              <w:jc w:val="right"/>
              <w:rPr>
                <w:color w:val="auto"/>
                <w:sz w:val="18"/>
              </w:rPr>
            </w:pPr>
            <w:r>
              <w:rPr>
                <w:color w:val="auto"/>
                <w:sz w:val="18"/>
              </w:rPr>
              <w:t xml:space="preserve">6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1"/>
              <w:ind w:left="179" w:right="49"/>
              <w:jc w:val="center"/>
              <w:rPr>
                <w:color w:val="auto"/>
                <w:sz w:val="21"/>
              </w:rPr>
            </w:pPr>
            <w:r>
              <w:rPr>
                <w:color w:val="auto"/>
                <w:sz w:val="21"/>
              </w:rPr>
              <w:t xml:space="preserve">主要人员 </w:t>
            </w:r>
          </w:p>
          <w:p>
            <w:pPr>
              <w:pStyle w:val="45"/>
              <w:spacing w:before="139"/>
              <w:ind w:left="179" w:right="47"/>
              <w:jc w:val="center"/>
              <w:rPr>
                <w:color w:val="auto"/>
                <w:sz w:val="21"/>
              </w:rPr>
            </w:pPr>
            <w:r>
              <w:rPr>
                <w:color w:val="auto"/>
                <w:sz w:val="21"/>
              </w:rPr>
              <w:t xml:space="preserve">配备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1" w:line="360" w:lineRule="auto"/>
              <w:ind w:left="116" w:right="143"/>
              <w:rPr>
                <w:color w:val="auto"/>
                <w:sz w:val="21"/>
              </w:rPr>
            </w:pPr>
            <w:r>
              <w:rPr>
                <w:color w:val="auto"/>
                <w:sz w:val="21"/>
              </w:rPr>
              <w:t>拟任项目经理（兼任施工负责人）、施工技术负责人、设计负责人的配备不低于国</w:t>
            </w:r>
          </w:p>
          <w:p>
            <w:pPr>
              <w:pStyle w:val="45"/>
              <w:spacing w:before="1" w:line="360" w:lineRule="auto"/>
              <w:ind w:left="116"/>
              <w:rPr>
                <w:color w:val="auto"/>
                <w:sz w:val="21"/>
              </w:rPr>
            </w:pPr>
            <w:r>
              <w:rPr>
                <w:color w:val="auto"/>
                <w:sz w:val="21"/>
              </w:rPr>
              <w:t xml:space="preserve">家或省有关规定及招标文件要求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1"/>
              <w:rPr>
                <w:color w:val="auto"/>
                <w:sz w:val="15"/>
              </w:rPr>
            </w:pPr>
          </w:p>
          <w:p>
            <w:pPr>
              <w:pStyle w:val="45"/>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11"/>
              <w:rPr>
                <w:color w:val="auto"/>
                <w:sz w:val="15"/>
              </w:rPr>
            </w:pPr>
          </w:p>
          <w:p>
            <w:pPr>
              <w:pStyle w:val="45"/>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5" w:hRule="atLeast"/>
        </w:trPr>
        <w:tc>
          <w:tcPr>
            <w:tcW w:w="682" w:type="dxa"/>
            <w:tcBorders>
              <w:top w:val="single" w:color="000000" w:sz="4" w:space="0"/>
              <w:bottom w:val="single" w:color="000000" w:sz="4" w:space="0"/>
              <w:right w:val="single" w:color="000000" w:sz="4" w:space="0"/>
            </w:tcBorders>
          </w:tcPr>
          <w:p>
            <w:pPr>
              <w:pStyle w:val="45"/>
              <w:spacing w:before="1"/>
              <w:rPr>
                <w:color w:val="auto"/>
                <w:sz w:val="16"/>
              </w:rPr>
            </w:pPr>
          </w:p>
          <w:p>
            <w:pPr>
              <w:pStyle w:val="45"/>
              <w:ind w:right="184"/>
              <w:jc w:val="right"/>
              <w:rPr>
                <w:color w:val="auto"/>
                <w:sz w:val="18"/>
              </w:rPr>
            </w:pPr>
            <w:r>
              <w:rPr>
                <w:color w:val="auto"/>
                <w:sz w:val="18"/>
              </w:rPr>
              <w:t xml:space="preserve">7 </w:t>
            </w:r>
          </w:p>
        </w:tc>
        <w:tc>
          <w:tcPr>
            <w:tcW w:w="1328"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4"/>
              </w:rPr>
            </w:pPr>
          </w:p>
          <w:p>
            <w:pPr>
              <w:pStyle w:val="45"/>
              <w:ind w:left="179" w:right="49"/>
              <w:jc w:val="center"/>
              <w:rPr>
                <w:color w:val="auto"/>
                <w:sz w:val="21"/>
              </w:rPr>
            </w:pPr>
            <w:r>
              <w:rPr>
                <w:color w:val="auto"/>
                <w:sz w:val="21"/>
              </w:rPr>
              <w:t xml:space="preserve">权利义务 </w:t>
            </w:r>
          </w:p>
        </w:tc>
        <w:tc>
          <w:tcPr>
            <w:tcW w:w="4057" w:type="dxa"/>
            <w:tcBorders>
              <w:top w:val="single" w:color="000000" w:sz="4" w:space="0"/>
              <w:left w:val="single" w:color="000000" w:sz="4" w:space="0"/>
              <w:bottom w:val="single" w:color="000000" w:sz="4" w:space="0"/>
              <w:right w:val="single" w:color="000000" w:sz="4" w:space="0"/>
            </w:tcBorders>
          </w:tcPr>
          <w:p>
            <w:pPr>
              <w:pStyle w:val="45"/>
              <w:spacing w:before="2"/>
              <w:rPr>
                <w:color w:val="auto"/>
                <w:sz w:val="19"/>
              </w:rPr>
            </w:pPr>
          </w:p>
          <w:p>
            <w:pPr>
              <w:pStyle w:val="45"/>
              <w:ind w:left="116"/>
              <w:rPr>
                <w:color w:val="auto"/>
                <w:sz w:val="21"/>
              </w:rPr>
            </w:pPr>
            <w:r>
              <w:rPr>
                <w:color w:val="auto"/>
                <w:sz w:val="21"/>
              </w:rPr>
              <w:t xml:space="preserve">符合第四章“合同条款及格式”规定 </w:t>
            </w:r>
          </w:p>
        </w:tc>
        <w:tc>
          <w:tcPr>
            <w:tcW w:w="797"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288"/>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342"/>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343"/>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344"/>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left="106"/>
              <w:jc w:val="center"/>
              <w:rPr>
                <w:color w:val="auto"/>
                <w:sz w:val="18"/>
              </w:rPr>
            </w:pPr>
            <w:r>
              <w:rPr>
                <w:color w:val="auto"/>
                <w:sz w:val="18"/>
              </w:rPr>
              <w:t xml:space="preserve"> </w:t>
            </w:r>
          </w:p>
        </w:tc>
        <w:tc>
          <w:tcPr>
            <w:tcW w:w="902"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346"/>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right w:val="single" w:color="000000" w:sz="4" w:space="0"/>
            </w:tcBorders>
          </w:tcPr>
          <w:p>
            <w:pPr>
              <w:pStyle w:val="45"/>
              <w:spacing w:before="1"/>
              <w:rPr>
                <w:color w:val="auto"/>
                <w:sz w:val="16"/>
              </w:rPr>
            </w:pPr>
          </w:p>
          <w:p>
            <w:pPr>
              <w:pStyle w:val="45"/>
              <w:ind w:right="347"/>
              <w:jc w:val="right"/>
              <w:rPr>
                <w:color w:val="auto"/>
                <w:sz w:val="18"/>
              </w:rPr>
            </w:pPr>
            <w:r>
              <w:rPr>
                <w:color w:val="auto"/>
                <w:sz w:val="18"/>
              </w:rPr>
              <w:t xml:space="preserve"> </w:t>
            </w:r>
          </w:p>
        </w:tc>
        <w:tc>
          <w:tcPr>
            <w:tcW w:w="901" w:type="dxa"/>
            <w:tcBorders>
              <w:top w:val="single" w:color="000000" w:sz="4" w:space="0"/>
              <w:left w:val="single" w:color="000000" w:sz="4" w:space="0"/>
              <w:bottom w:val="single" w:color="000000" w:sz="4" w:space="0"/>
            </w:tcBorders>
          </w:tcPr>
          <w:p>
            <w:pPr>
              <w:pStyle w:val="45"/>
              <w:spacing w:before="1"/>
              <w:rPr>
                <w:color w:val="auto"/>
                <w:sz w:val="16"/>
              </w:rPr>
            </w:pPr>
          </w:p>
          <w:p>
            <w:pPr>
              <w:pStyle w:val="45"/>
              <w:ind w:right="338"/>
              <w:jc w:val="right"/>
              <w:rPr>
                <w:color w:val="auto"/>
                <w:sz w:val="18"/>
              </w:rPr>
            </w:pP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82" w:type="dxa"/>
            <w:tcBorders>
              <w:top w:val="single" w:color="000000" w:sz="4" w:space="0"/>
              <w:right w:val="single" w:color="000000" w:sz="4" w:space="0"/>
            </w:tcBorders>
          </w:tcPr>
          <w:p>
            <w:pPr>
              <w:pStyle w:val="45"/>
              <w:spacing w:before="101"/>
              <w:ind w:right="184"/>
              <w:jc w:val="right"/>
              <w:rPr>
                <w:color w:val="auto"/>
                <w:sz w:val="18"/>
              </w:rPr>
            </w:pPr>
            <w:r>
              <w:rPr>
                <w:color w:val="auto"/>
                <w:sz w:val="18"/>
              </w:rPr>
              <w:t xml:space="preserve">8 </w:t>
            </w:r>
          </w:p>
        </w:tc>
        <w:tc>
          <w:tcPr>
            <w:tcW w:w="1328" w:type="dxa"/>
            <w:tcBorders>
              <w:top w:val="single" w:color="000000" w:sz="4" w:space="0"/>
              <w:left w:val="single" w:color="000000" w:sz="4" w:space="0"/>
              <w:right w:val="single" w:color="000000" w:sz="4" w:space="0"/>
            </w:tcBorders>
          </w:tcPr>
          <w:p>
            <w:pPr>
              <w:pStyle w:val="45"/>
              <w:spacing w:before="76"/>
              <w:ind w:left="179" w:right="49"/>
              <w:jc w:val="center"/>
              <w:rPr>
                <w:color w:val="auto"/>
                <w:sz w:val="21"/>
              </w:rPr>
            </w:pPr>
            <w:r>
              <w:rPr>
                <w:color w:val="auto"/>
                <w:sz w:val="21"/>
              </w:rPr>
              <w:t xml:space="preserve">评审结论 </w:t>
            </w:r>
          </w:p>
        </w:tc>
        <w:tc>
          <w:tcPr>
            <w:tcW w:w="4057" w:type="dxa"/>
            <w:tcBorders>
              <w:top w:val="single" w:color="000000" w:sz="4" w:space="0"/>
              <w:left w:val="single" w:color="000000" w:sz="4" w:space="0"/>
              <w:right w:val="single" w:color="000000" w:sz="4" w:space="0"/>
            </w:tcBorders>
          </w:tcPr>
          <w:p>
            <w:pPr>
              <w:pStyle w:val="45"/>
              <w:spacing w:before="76"/>
              <w:ind w:left="116"/>
              <w:rPr>
                <w:color w:val="auto"/>
                <w:sz w:val="21"/>
              </w:rPr>
            </w:pPr>
            <w:r>
              <w:rPr>
                <w:color w:val="auto"/>
                <w:sz w:val="21"/>
              </w:rPr>
              <w:t xml:space="preserve">合格或不合格 </w:t>
            </w:r>
          </w:p>
        </w:tc>
        <w:tc>
          <w:tcPr>
            <w:tcW w:w="797" w:type="dxa"/>
            <w:tcBorders>
              <w:top w:val="single" w:color="000000" w:sz="4" w:space="0"/>
              <w:left w:val="single" w:color="000000" w:sz="4" w:space="0"/>
              <w:right w:val="single" w:color="000000" w:sz="4" w:space="0"/>
            </w:tcBorders>
          </w:tcPr>
          <w:p>
            <w:pPr>
              <w:pStyle w:val="45"/>
              <w:spacing w:before="101"/>
              <w:ind w:right="288"/>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101"/>
              <w:ind w:right="342"/>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101"/>
              <w:ind w:right="343"/>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101"/>
              <w:ind w:right="344"/>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101"/>
              <w:ind w:left="106"/>
              <w:jc w:val="center"/>
              <w:rPr>
                <w:color w:val="auto"/>
                <w:sz w:val="18"/>
              </w:rPr>
            </w:pPr>
            <w:r>
              <w:rPr>
                <w:color w:val="auto"/>
                <w:sz w:val="18"/>
              </w:rPr>
              <w:t xml:space="preserve"> </w:t>
            </w:r>
          </w:p>
        </w:tc>
        <w:tc>
          <w:tcPr>
            <w:tcW w:w="902" w:type="dxa"/>
            <w:tcBorders>
              <w:top w:val="single" w:color="000000" w:sz="4" w:space="0"/>
              <w:left w:val="single" w:color="000000" w:sz="4" w:space="0"/>
              <w:right w:val="single" w:color="000000" w:sz="4" w:space="0"/>
            </w:tcBorders>
          </w:tcPr>
          <w:p>
            <w:pPr>
              <w:pStyle w:val="45"/>
              <w:spacing w:before="101"/>
              <w:ind w:right="346"/>
              <w:jc w:val="right"/>
              <w:rPr>
                <w:color w:val="auto"/>
                <w:sz w:val="18"/>
              </w:rPr>
            </w:pPr>
            <w:r>
              <w:rPr>
                <w:color w:val="auto"/>
                <w:sz w:val="18"/>
              </w:rPr>
              <w:t xml:space="preserve"> </w:t>
            </w:r>
          </w:p>
        </w:tc>
        <w:tc>
          <w:tcPr>
            <w:tcW w:w="901" w:type="dxa"/>
            <w:tcBorders>
              <w:top w:val="single" w:color="000000" w:sz="4" w:space="0"/>
              <w:left w:val="single" w:color="000000" w:sz="4" w:space="0"/>
              <w:right w:val="single" w:color="000000" w:sz="4" w:space="0"/>
            </w:tcBorders>
          </w:tcPr>
          <w:p>
            <w:pPr>
              <w:pStyle w:val="45"/>
              <w:spacing w:before="101"/>
              <w:ind w:right="347"/>
              <w:jc w:val="right"/>
              <w:rPr>
                <w:color w:val="auto"/>
                <w:sz w:val="18"/>
              </w:rPr>
            </w:pPr>
            <w:r>
              <w:rPr>
                <w:color w:val="auto"/>
                <w:sz w:val="18"/>
              </w:rPr>
              <w:t xml:space="preserve"> </w:t>
            </w:r>
          </w:p>
        </w:tc>
        <w:tc>
          <w:tcPr>
            <w:tcW w:w="901" w:type="dxa"/>
            <w:tcBorders>
              <w:top w:val="single" w:color="000000" w:sz="4" w:space="0"/>
              <w:left w:val="single" w:color="000000" w:sz="4" w:space="0"/>
            </w:tcBorders>
          </w:tcPr>
          <w:p>
            <w:pPr>
              <w:pStyle w:val="45"/>
              <w:spacing w:before="101"/>
              <w:ind w:right="338"/>
              <w:jc w:val="right"/>
              <w:rPr>
                <w:color w:val="auto"/>
                <w:sz w:val="18"/>
              </w:rPr>
            </w:pPr>
            <w:r>
              <w:rPr>
                <w:color w:val="auto"/>
                <w:sz w:val="18"/>
              </w:rPr>
              <w:t xml:space="preserve"> </w:t>
            </w:r>
          </w:p>
        </w:tc>
      </w:tr>
    </w:tbl>
    <w:p>
      <w:pPr>
        <w:spacing w:before="3" w:line="364" w:lineRule="auto"/>
        <w:ind w:left="520" w:right="4788" w:firstLine="19"/>
        <w:rPr>
          <w:color w:val="auto"/>
        </w:rPr>
      </w:pPr>
      <w:r>
        <w:rPr>
          <w:color w:val="auto"/>
          <w:spacing w:val="-3"/>
        </w:rPr>
        <w:t>备注：以上内容合格的打“√”，不合格的打“×”，有一项不合格则结论为不合格。评标委员会全体成员签字</w:t>
      </w:r>
      <w:r>
        <w:rPr>
          <w:color w:val="auto"/>
        </w:rPr>
        <w:t>/日期：</w:t>
      </w:r>
    </w:p>
    <w:p>
      <w:pPr>
        <w:spacing w:line="364" w:lineRule="auto"/>
        <w:rPr>
          <w:color w:val="auto"/>
        </w:rPr>
        <w:sectPr>
          <w:headerReference r:id="rId15" w:type="default"/>
          <w:footerReference r:id="rId16" w:type="default"/>
          <w:pgSz w:w="16840" w:h="11910" w:orient="landscape"/>
          <w:pgMar w:top="920" w:right="1700" w:bottom="1200" w:left="1340" w:header="0" w:footer="1002" w:gutter="0"/>
          <w:cols w:space="720" w:num="1"/>
        </w:sectPr>
      </w:pPr>
    </w:p>
    <w:p>
      <w:pPr>
        <w:spacing w:before="56"/>
        <w:ind w:left="440"/>
        <w:rPr>
          <w:color w:val="auto"/>
          <w:sz w:val="24"/>
        </w:rPr>
      </w:pPr>
      <w:bookmarkStart w:id="87" w:name="附表3-6：废标情况说明"/>
      <w:bookmarkEnd w:id="87"/>
      <w:r>
        <w:rPr>
          <w:color w:val="auto"/>
          <w:sz w:val="24"/>
        </w:rPr>
        <w:t>附表3-6：废标情况说明</w:t>
      </w:r>
    </w:p>
    <w:p>
      <w:pPr>
        <w:pStyle w:val="8"/>
        <w:spacing w:before="10"/>
        <w:rPr>
          <w:color w:val="auto"/>
          <w:sz w:val="40"/>
        </w:rPr>
      </w:pPr>
      <w:r>
        <w:rPr>
          <w:color w:val="auto"/>
        </w:rPr>
        <w:br w:type="column"/>
      </w:r>
    </w:p>
    <w:p>
      <w:pPr>
        <w:ind w:left="440"/>
        <w:rPr>
          <w:color w:val="auto"/>
          <w:sz w:val="28"/>
        </w:rPr>
      </w:pPr>
      <w:r>
        <w:rPr>
          <w:color w:val="auto"/>
          <w:sz w:val="28"/>
        </w:rPr>
        <w:t>废标情况说明</w:t>
      </w:r>
    </w:p>
    <w:p>
      <w:pPr>
        <w:rPr>
          <w:color w:val="auto"/>
          <w:sz w:val="28"/>
        </w:rPr>
        <w:sectPr>
          <w:headerReference r:id="rId17" w:type="default"/>
          <w:footerReference r:id="rId18" w:type="default"/>
          <w:pgSz w:w="11900" w:h="16840"/>
          <w:pgMar w:top="1380" w:right="980" w:bottom="1200" w:left="1000" w:header="109" w:footer="1002" w:gutter="0"/>
          <w:cols w:equalWidth="0" w:num="2">
            <w:col w:w="3001" w:space="948"/>
            <w:col w:w="5971"/>
          </w:cols>
        </w:sectPr>
      </w:pPr>
    </w:p>
    <w:p>
      <w:pPr>
        <w:pStyle w:val="8"/>
        <w:spacing w:before="1"/>
        <w:rPr>
          <w:color w:val="auto"/>
          <w:sz w:val="9"/>
        </w:rPr>
      </w:pPr>
    </w:p>
    <w:p>
      <w:pPr>
        <w:spacing w:before="70"/>
        <w:ind w:left="860"/>
        <w:rPr>
          <w:color w:val="auto"/>
        </w:rPr>
      </w:pPr>
      <w:r>
        <w:rPr>
          <w:color w:val="auto"/>
        </w:rPr>
        <w:t xml:space="preserve">工程名称：（项目名称） </w:t>
      </w:r>
    </w:p>
    <w:p>
      <w:pPr>
        <w:pStyle w:val="8"/>
        <w:spacing w:before="10" w:after="1"/>
        <w:rPr>
          <w:color w:val="auto"/>
          <w:sz w:val="20"/>
        </w:rPr>
      </w:pPr>
    </w:p>
    <w:tbl>
      <w:tblPr>
        <w:tblStyle w:val="16"/>
        <w:tblW w:w="9661" w:type="dxa"/>
        <w:tblInd w:w="1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6"/>
        <w:gridCol w:w="3564"/>
        <w:gridCol w:w="52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0" w:hRule="atLeast"/>
        </w:trPr>
        <w:tc>
          <w:tcPr>
            <w:tcW w:w="826" w:type="dxa"/>
            <w:tcBorders>
              <w:bottom w:val="single" w:color="000000" w:sz="6" w:space="0"/>
              <w:right w:val="single" w:color="000000" w:sz="6" w:space="0"/>
            </w:tcBorders>
          </w:tcPr>
          <w:p>
            <w:pPr>
              <w:pStyle w:val="45"/>
              <w:spacing w:before="10"/>
              <w:rPr>
                <w:color w:val="auto"/>
              </w:rPr>
            </w:pPr>
          </w:p>
          <w:p>
            <w:pPr>
              <w:pStyle w:val="45"/>
              <w:ind w:left="212" w:right="71"/>
              <w:jc w:val="center"/>
              <w:rPr>
                <w:color w:val="auto"/>
                <w:sz w:val="24"/>
              </w:rPr>
            </w:pPr>
            <w:r>
              <w:rPr>
                <w:color w:val="auto"/>
                <w:sz w:val="24"/>
              </w:rPr>
              <w:t xml:space="preserve">序号 </w:t>
            </w:r>
          </w:p>
        </w:tc>
        <w:tc>
          <w:tcPr>
            <w:tcW w:w="3564" w:type="dxa"/>
            <w:tcBorders>
              <w:left w:val="single" w:color="000000" w:sz="6" w:space="0"/>
              <w:bottom w:val="single" w:color="000000" w:sz="6" w:space="0"/>
              <w:right w:val="single" w:color="000000" w:sz="6" w:space="0"/>
            </w:tcBorders>
          </w:tcPr>
          <w:p>
            <w:pPr>
              <w:pStyle w:val="45"/>
              <w:spacing w:before="10"/>
              <w:rPr>
                <w:color w:val="auto"/>
              </w:rPr>
            </w:pPr>
          </w:p>
          <w:p>
            <w:pPr>
              <w:pStyle w:val="45"/>
              <w:ind w:left="1468" w:right="1321"/>
              <w:jc w:val="center"/>
              <w:rPr>
                <w:color w:val="auto"/>
                <w:sz w:val="24"/>
              </w:rPr>
            </w:pPr>
            <w:r>
              <w:rPr>
                <w:color w:val="auto"/>
                <w:sz w:val="24"/>
              </w:rPr>
              <w:t xml:space="preserve">投标人 </w:t>
            </w:r>
          </w:p>
        </w:tc>
        <w:tc>
          <w:tcPr>
            <w:tcW w:w="5271" w:type="dxa"/>
            <w:tcBorders>
              <w:left w:val="single" w:color="000000" w:sz="6" w:space="0"/>
              <w:bottom w:val="single" w:color="000000" w:sz="6" w:space="0"/>
            </w:tcBorders>
          </w:tcPr>
          <w:p>
            <w:pPr>
              <w:pStyle w:val="45"/>
              <w:spacing w:before="10"/>
              <w:rPr>
                <w:color w:val="auto"/>
              </w:rPr>
            </w:pPr>
          </w:p>
          <w:p>
            <w:pPr>
              <w:pStyle w:val="45"/>
              <w:ind w:left="1563"/>
              <w:rPr>
                <w:color w:val="auto"/>
                <w:sz w:val="24"/>
              </w:rPr>
            </w:pPr>
            <w:r>
              <w:rPr>
                <w:color w:val="auto"/>
                <w:sz w:val="24"/>
              </w:rPr>
              <w:t xml:space="preserve">不能通过审查的原因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2" w:hRule="atLeast"/>
        </w:trPr>
        <w:tc>
          <w:tcPr>
            <w:tcW w:w="826" w:type="dxa"/>
            <w:tcBorders>
              <w:top w:val="single" w:color="000000" w:sz="6" w:space="0"/>
              <w:bottom w:val="single" w:color="000000" w:sz="6" w:space="0"/>
              <w:right w:val="single" w:color="000000" w:sz="6" w:space="0"/>
            </w:tcBorders>
          </w:tcPr>
          <w:p>
            <w:pPr>
              <w:pStyle w:val="45"/>
              <w:spacing w:before="6"/>
              <w:rPr>
                <w:color w:val="auto"/>
                <w:sz w:val="18"/>
              </w:rPr>
            </w:pPr>
          </w:p>
          <w:p>
            <w:pPr>
              <w:pStyle w:val="45"/>
              <w:ind w:left="212" w:right="71"/>
              <w:jc w:val="center"/>
              <w:rPr>
                <w:color w:val="auto"/>
                <w:sz w:val="24"/>
              </w:rPr>
            </w:pPr>
            <w:r>
              <w:rPr>
                <w:color w:val="auto"/>
                <w:sz w:val="24"/>
              </w:rPr>
              <w:t xml:space="preserve">1 </w:t>
            </w:r>
          </w:p>
        </w:tc>
        <w:tc>
          <w:tcPr>
            <w:tcW w:w="3564" w:type="dxa"/>
            <w:tcBorders>
              <w:top w:val="single" w:color="000000" w:sz="6" w:space="0"/>
              <w:left w:val="single" w:color="000000" w:sz="6" w:space="0"/>
              <w:bottom w:val="single" w:color="000000" w:sz="6" w:space="0"/>
              <w:right w:val="single" w:color="000000" w:sz="6" w:space="0"/>
            </w:tcBorders>
          </w:tcPr>
          <w:p>
            <w:pPr>
              <w:pStyle w:val="45"/>
              <w:spacing w:line="307" w:lineRule="exact"/>
              <w:ind w:left="114"/>
              <w:rPr>
                <w:color w:val="auto"/>
                <w:sz w:val="24"/>
              </w:rPr>
            </w:pPr>
            <w:r>
              <w:rPr>
                <w:color w:val="auto"/>
                <w:sz w:val="24"/>
              </w:rPr>
              <w:t xml:space="preserve"> </w:t>
            </w:r>
          </w:p>
        </w:tc>
        <w:tc>
          <w:tcPr>
            <w:tcW w:w="5271" w:type="dxa"/>
            <w:tcBorders>
              <w:top w:val="single" w:color="000000" w:sz="6" w:space="0"/>
              <w:left w:val="single" w:color="000000" w:sz="6" w:space="0"/>
              <w:bottom w:val="single" w:color="000000" w:sz="6" w:space="0"/>
            </w:tcBorders>
          </w:tcPr>
          <w:p>
            <w:pPr>
              <w:pStyle w:val="45"/>
              <w:spacing w:line="307" w:lineRule="exact"/>
              <w:ind w:left="115"/>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826" w:type="dxa"/>
            <w:tcBorders>
              <w:top w:val="single" w:color="000000" w:sz="6" w:space="0"/>
              <w:bottom w:val="single" w:color="000000" w:sz="6" w:space="0"/>
              <w:right w:val="single" w:color="000000" w:sz="6" w:space="0"/>
            </w:tcBorders>
          </w:tcPr>
          <w:p>
            <w:pPr>
              <w:pStyle w:val="45"/>
              <w:spacing w:before="7"/>
              <w:rPr>
                <w:color w:val="auto"/>
                <w:sz w:val="18"/>
              </w:rPr>
            </w:pPr>
          </w:p>
          <w:p>
            <w:pPr>
              <w:pStyle w:val="45"/>
              <w:ind w:left="212" w:right="71"/>
              <w:jc w:val="center"/>
              <w:rPr>
                <w:color w:val="auto"/>
                <w:sz w:val="24"/>
              </w:rPr>
            </w:pPr>
            <w:r>
              <w:rPr>
                <w:color w:val="auto"/>
                <w:sz w:val="24"/>
              </w:rPr>
              <w:t xml:space="preserve">2 </w:t>
            </w:r>
          </w:p>
        </w:tc>
        <w:tc>
          <w:tcPr>
            <w:tcW w:w="3564" w:type="dxa"/>
            <w:tcBorders>
              <w:top w:val="single" w:color="000000" w:sz="6" w:space="0"/>
              <w:left w:val="single" w:color="000000" w:sz="6" w:space="0"/>
              <w:bottom w:val="single" w:color="000000" w:sz="6" w:space="0"/>
              <w:right w:val="single" w:color="000000" w:sz="6" w:space="0"/>
            </w:tcBorders>
          </w:tcPr>
          <w:p>
            <w:pPr>
              <w:pStyle w:val="45"/>
              <w:spacing w:line="307" w:lineRule="exact"/>
              <w:ind w:left="114"/>
              <w:rPr>
                <w:color w:val="auto"/>
                <w:sz w:val="24"/>
              </w:rPr>
            </w:pPr>
            <w:r>
              <w:rPr>
                <w:color w:val="auto"/>
                <w:sz w:val="24"/>
              </w:rPr>
              <w:t xml:space="preserve"> </w:t>
            </w:r>
          </w:p>
        </w:tc>
        <w:tc>
          <w:tcPr>
            <w:tcW w:w="5271" w:type="dxa"/>
            <w:tcBorders>
              <w:top w:val="single" w:color="000000" w:sz="6" w:space="0"/>
              <w:left w:val="single" w:color="000000" w:sz="6" w:space="0"/>
              <w:bottom w:val="single" w:color="000000" w:sz="6" w:space="0"/>
            </w:tcBorders>
          </w:tcPr>
          <w:p>
            <w:pPr>
              <w:pStyle w:val="45"/>
              <w:spacing w:line="307" w:lineRule="exact"/>
              <w:ind w:left="115"/>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826" w:type="dxa"/>
            <w:tcBorders>
              <w:top w:val="single" w:color="000000" w:sz="6" w:space="0"/>
              <w:bottom w:val="single" w:color="000000" w:sz="6" w:space="0"/>
              <w:right w:val="single" w:color="000000" w:sz="6" w:space="0"/>
            </w:tcBorders>
          </w:tcPr>
          <w:p>
            <w:pPr>
              <w:pStyle w:val="45"/>
              <w:spacing w:before="6"/>
              <w:rPr>
                <w:color w:val="auto"/>
                <w:sz w:val="18"/>
              </w:rPr>
            </w:pPr>
          </w:p>
          <w:p>
            <w:pPr>
              <w:pStyle w:val="45"/>
              <w:ind w:left="212" w:right="71"/>
              <w:jc w:val="center"/>
              <w:rPr>
                <w:color w:val="auto"/>
                <w:sz w:val="24"/>
              </w:rPr>
            </w:pPr>
            <w:r>
              <w:rPr>
                <w:color w:val="auto"/>
                <w:sz w:val="24"/>
              </w:rPr>
              <w:t xml:space="preserve">3 </w:t>
            </w:r>
          </w:p>
        </w:tc>
        <w:tc>
          <w:tcPr>
            <w:tcW w:w="3564" w:type="dxa"/>
            <w:tcBorders>
              <w:top w:val="single" w:color="000000" w:sz="6" w:space="0"/>
              <w:left w:val="single" w:color="000000" w:sz="6" w:space="0"/>
              <w:bottom w:val="single" w:color="000000" w:sz="6" w:space="0"/>
              <w:right w:val="single" w:color="000000" w:sz="6" w:space="0"/>
            </w:tcBorders>
          </w:tcPr>
          <w:p>
            <w:pPr>
              <w:pStyle w:val="45"/>
              <w:spacing w:line="307" w:lineRule="exact"/>
              <w:ind w:left="114"/>
              <w:rPr>
                <w:color w:val="auto"/>
                <w:sz w:val="24"/>
              </w:rPr>
            </w:pPr>
            <w:r>
              <w:rPr>
                <w:color w:val="auto"/>
                <w:sz w:val="24"/>
              </w:rPr>
              <w:t xml:space="preserve"> </w:t>
            </w:r>
          </w:p>
        </w:tc>
        <w:tc>
          <w:tcPr>
            <w:tcW w:w="5271" w:type="dxa"/>
            <w:tcBorders>
              <w:top w:val="single" w:color="000000" w:sz="6" w:space="0"/>
              <w:left w:val="single" w:color="000000" w:sz="6" w:space="0"/>
              <w:bottom w:val="single" w:color="000000" w:sz="6" w:space="0"/>
            </w:tcBorders>
          </w:tcPr>
          <w:p>
            <w:pPr>
              <w:pStyle w:val="45"/>
              <w:spacing w:line="307" w:lineRule="exact"/>
              <w:ind w:left="115"/>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2" w:hRule="atLeast"/>
        </w:trPr>
        <w:tc>
          <w:tcPr>
            <w:tcW w:w="826" w:type="dxa"/>
            <w:tcBorders>
              <w:top w:val="single" w:color="000000" w:sz="6" w:space="0"/>
              <w:bottom w:val="single" w:color="000000" w:sz="6" w:space="0"/>
              <w:right w:val="single" w:color="000000" w:sz="6" w:space="0"/>
            </w:tcBorders>
          </w:tcPr>
          <w:p>
            <w:pPr>
              <w:pStyle w:val="45"/>
              <w:spacing w:before="6"/>
              <w:rPr>
                <w:color w:val="auto"/>
                <w:sz w:val="18"/>
              </w:rPr>
            </w:pPr>
          </w:p>
          <w:p>
            <w:pPr>
              <w:pStyle w:val="45"/>
              <w:ind w:left="212" w:right="71"/>
              <w:jc w:val="center"/>
              <w:rPr>
                <w:color w:val="auto"/>
                <w:sz w:val="24"/>
              </w:rPr>
            </w:pPr>
            <w:r>
              <w:rPr>
                <w:color w:val="auto"/>
                <w:sz w:val="24"/>
              </w:rPr>
              <w:t xml:space="preserve">4 </w:t>
            </w:r>
          </w:p>
        </w:tc>
        <w:tc>
          <w:tcPr>
            <w:tcW w:w="3564" w:type="dxa"/>
            <w:tcBorders>
              <w:top w:val="single" w:color="000000" w:sz="6" w:space="0"/>
              <w:left w:val="single" w:color="000000" w:sz="6" w:space="0"/>
              <w:bottom w:val="single" w:color="000000" w:sz="6" w:space="0"/>
              <w:right w:val="single" w:color="000000" w:sz="6" w:space="0"/>
            </w:tcBorders>
          </w:tcPr>
          <w:p>
            <w:pPr>
              <w:pStyle w:val="45"/>
              <w:spacing w:line="307" w:lineRule="exact"/>
              <w:ind w:left="114"/>
              <w:rPr>
                <w:color w:val="auto"/>
                <w:sz w:val="24"/>
              </w:rPr>
            </w:pPr>
            <w:r>
              <w:rPr>
                <w:color w:val="auto"/>
                <w:sz w:val="24"/>
              </w:rPr>
              <w:t xml:space="preserve"> </w:t>
            </w:r>
          </w:p>
        </w:tc>
        <w:tc>
          <w:tcPr>
            <w:tcW w:w="5271" w:type="dxa"/>
            <w:tcBorders>
              <w:top w:val="single" w:color="000000" w:sz="6" w:space="0"/>
              <w:left w:val="single" w:color="000000" w:sz="6" w:space="0"/>
              <w:bottom w:val="single" w:color="000000" w:sz="6" w:space="0"/>
            </w:tcBorders>
          </w:tcPr>
          <w:p>
            <w:pPr>
              <w:pStyle w:val="45"/>
              <w:spacing w:line="307" w:lineRule="exact"/>
              <w:ind w:left="115"/>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8" w:hRule="atLeast"/>
        </w:trPr>
        <w:tc>
          <w:tcPr>
            <w:tcW w:w="826" w:type="dxa"/>
            <w:tcBorders>
              <w:top w:val="single" w:color="000000" w:sz="6" w:space="0"/>
              <w:right w:val="single" w:color="000000" w:sz="6" w:space="0"/>
            </w:tcBorders>
          </w:tcPr>
          <w:p>
            <w:pPr>
              <w:pStyle w:val="45"/>
              <w:spacing w:before="8"/>
              <w:rPr>
                <w:color w:val="auto"/>
                <w:sz w:val="19"/>
              </w:rPr>
            </w:pPr>
          </w:p>
          <w:p>
            <w:pPr>
              <w:pStyle w:val="45"/>
              <w:ind w:left="212" w:right="71"/>
              <w:jc w:val="center"/>
              <w:rPr>
                <w:color w:val="auto"/>
                <w:sz w:val="24"/>
              </w:rPr>
            </w:pPr>
            <w:r>
              <w:rPr>
                <w:color w:val="auto"/>
                <w:sz w:val="24"/>
              </w:rPr>
              <w:t xml:space="preserve">…… </w:t>
            </w:r>
          </w:p>
        </w:tc>
        <w:tc>
          <w:tcPr>
            <w:tcW w:w="3564" w:type="dxa"/>
            <w:tcBorders>
              <w:top w:val="single" w:color="000000" w:sz="6" w:space="0"/>
              <w:left w:val="single" w:color="000000" w:sz="6" w:space="0"/>
              <w:right w:val="single" w:color="000000" w:sz="6" w:space="0"/>
            </w:tcBorders>
          </w:tcPr>
          <w:p>
            <w:pPr>
              <w:pStyle w:val="45"/>
              <w:spacing w:line="307" w:lineRule="exact"/>
              <w:ind w:left="114"/>
              <w:rPr>
                <w:color w:val="auto"/>
                <w:sz w:val="24"/>
              </w:rPr>
            </w:pPr>
            <w:r>
              <w:rPr>
                <w:color w:val="auto"/>
                <w:sz w:val="24"/>
              </w:rPr>
              <w:t xml:space="preserve"> </w:t>
            </w:r>
          </w:p>
        </w:tc>
        <w:tc>
          <w:tcPr>
            <w:tcW w:w="5271" w:type="dxa"/>
            <w:tcBorders>
              <w:top w:val="single" w:color="000000" w:sz="6" w:space="0"/>
              <w:left w:val="single" w:color="000000" w:sz="6" w:space="0"/>
            </w:tcBorders>
          </w:tcPr>
          <w:p>
            <w:pPr>
              <w:pStyle w:val="45"/>
              <w:spacing w:line="307" w:lineRule="exact"/>
              <w:ind w:left="115"/>
              <w:rPr>
                <w:color w:val="auto"/>
                <w:sz w:val="24"/>
              </w:rPr>
            </w:pPr>
            <w:r>
              <w:rPr>
                <w:color w:val="auto"/>
                <w:sz w:val="24"/>
              </w:rPr>
              <w:t xml:space="preserve"> </w:t>
            </w:r>
          </w:p>
        </w:tc>
      </w:tr>
    </w:tbl>
    <w:p>
      <w:pPr>
        <w:spacing w:before="3"/>
        <w:ind w:left="860"/>
        <w:rPr>
          <w:color w:val="auto"/>
        </w:rPr>
      </w:pPr>
      <w:r>
        <w:rPr>
          <w:color w:val="auto"/>
        </w:rPr>
        <w:t xml:space="preserve"> </w:t>
      </w:r>
    </w:p>
    <w:p>
      <w:pPr>
        <w:spacing w:before="145"/>
        <w:ind w:left="860"/>
        <w:rPr>
          <w:color w:val="auto"/>
        </w:rPr>
      </w:pPr>
      <w:r>
        <w:rPr>
          <w:color w:val="auto"/>
        </w:rPr>
        <w:t xml:space="preserve">评标委员会全体成员签字/日期： </w:t>
      </w:r>
    </w:p>
    <w:p>
      <w:pPr>
        <w:tabs>
          <w:tab w:val="left" w:pos="3320"/>
        </w:tabs>
        <w:spacing w:before="148"/>
        <w:ind w:left="440"/>
        <w:rPr>
          <w:color w:val="auto"/>
        </w:rPr>
      </w:pPr>
      <w:r>
        <w:rPr>
          <w:color w:val="auto"/>
        </w:rPr>
        <w:t xml:space="preserve"> </w:t>
      </w:r>
      <w:r>
        <w:rPr>
          <w:color w:val="auto"/>
        </w:rPr>
        <w:tab/>
      </w:r>
      <w:r>
        <w:rPr>
          <w:color w:val="auto"/>
        </w:rPr>
        <w:t xml:space="preserve"> </w:t>
      </w:r>
    </w:p>
    <w:p>
      <w:pPr>
        <w:rPr>
          <w:color w:val="auto"/>
        </w:rPr>
        <w:sectPr>
          <w:type w:val="continuous"/>
          <w:pgSz w:w="11900" w:h="16840"/>
          <w:pgMar w:top="1580" w:right="980" w:bottom="280" w:left="1000" w:header="720" w:footer="720" w:gutter="0"/>
          <w:cols w:space="720" w:num="1"/>
        </w:sectPr>
      </w:pPr>
    </w:p>
    <w:p>
      <w:pPr>
        <w:spacing w:before="56"/>
        <w:ind w:left="422" w:right="5978"/>
        <w:jc w:val="center"/>
        <w:rPr>
          <w:color w:val="auto"/>
          <w:sz w:val="24"/>
        </w:rPr>
      </w:pPr>
      <w:bookmarkStart w:id="88" w:name="附表3-7：符合要求的投标人名单"/>
      <w:bookmarkEnd w:id="88"/>
      <w:r>
        <w:rPr>
          <w:color w:val="auto"/>
          <w:sz w:val="24"/>
        </w:rPr>
        <w:t>附表3-7：符合要求的投标人名单</w:t>
      </w:r>
    </w:p>
    <w:p>
      <w:pPr>
        <w:spacing w:before="159"/>
        <w:ind w:left="3810" w:right="3270"/>
        <w:jc w:val="center"/>
        <w:rPr>
          <w:color w:val="auto"/>
          <w:sz w:val="28"/>
        </w:rPr>
      </w:pPr>
      <w:r>
        <w:rPr>
          <w:color w:val="auto"/>
          <w:sz w:val="28"/>
        </w:rPr>
        <w:t>符合要求的投标人名单</w:t>
      </w:r>
    </w:p>
    <w:p>
      <w:pPr>
        <w:pStyle w:val="8"/>
        <w:rPr>
          <w:color w:val="auto"/>
          <w:sz w:val="28"/>
        </w:rPr>
      </w:pPr>
    </w:p>
    <w:p>
      <w:pPr>
        <w:pStyle w:val="8"/>
        <w:spacing w:before="1"/>
        <w:rPr>
          <w:color w:val="auto"/>
          <w:sz w:val="29"/>
        </w:rPr>
      </w:pPr>
    </w:p>
    <w:p>
      <w:pPr>
        <w:ind w:left="860"/>
        <w:rPr>
          <w:color w:val="auto"/>
        </w:rPr>
      </w:pPr>
      <w:r>
        <w:rPr>
          <w:color w:val="auto"/>
        </w:rPr>
        <w:t xml:space="preserve">工程名称：（项目名称） </w:t>
      </w:r>
    </w:p>
    <w:p>
      <w:pPr>
        <w:pStyle w:val="8"/>
        <w:spacing w:before="10"/>
        <w:rPr>
          <w:color w:val="auto"/>
          <w:sz w:val="20"/>
        </w:rPr>
      </w:pPr>
    </w:p>
    <w:tbl>
      <w:tblPr>
        <w:tblStyle w:val="16"/>
        <w:tblW w:w="9502" w:type="dxa"/>
        <w:tblInd w:w="2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5"/>
        <w:gridCol w:w="6477"/>
        <w:gridCol w:w="20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3" w:hRule="atLeast"/>
        </w:trPr>
        <w:tc>
          <w:tcPr>
            <w:tcW w:w="965" w:type="dxa"/>
            <w:tcBorders>
              <w:bottom w:val="single" w:color="000000" w:sz="6" w:space="0"/>
              <w:right w:val="single" w:color="000000" w:sz="6" w:space="0"/>
            </w:tcBorders>
          </w:tcPr>
          <w:p>
            <w:pPr>
              <w:pStyle w:val="45"/>
              <w:spacing w:before="98"/>
              <w:ind w:left="281" w:right="140"/>
              <w:jc w:val="center"/>
              <w:rPr>
                <w:color w:val="auto"/>
                <w:sz w:val="24"/>
              </w:rPr>
            </w:pPr>
            <w:r>
              <w:rPr>
                <w:color w:val="auto"/>
                <w:sz w:val="24"/>
              </w:rPr>
              <w:t xml:space="preserve">序号 </w:t>
            </w:r>
          </w:p>
        </w:tc>
        <w:tc>
          <w:tcPr>
            <w:tcW w:w="6477" w:type="dxa"/>
            <w:tcBorders>
              <w:left w:val="single" w:color="000000" w:sz="6" w:space="0"/>
              <w:bottom w:val="single" w:color="000000" w:sz="6" w:space="0"/>
              <w:right w:val="single" w:color="000000" w:sz="6" w:space="0"/>
            </w:tcBorders>
          </w:tcPr>
          <w:p>
            <w:pPr>
              <w:pStyle w:val="45"/>
              <w:spacing w:before="98"/>
              <w:ind w:left="2682" w:right="2539"/>
              <w:jc w:val="center"/>
              <w:rPr>
                <w:color w:val="auto"/>
                <w:sz w:val="24"/>
              </w:rPr>
            </w:pPr>
            <w:r>
              <w:rPr>
                <w:color w:val="auto"/>
                <w:sz w:val="24"/>
              </w:rPr>
              <w:t xml:space="preserve">投标人名称 </w:t>
            </w:r>
          </w:p>
        </w:tc>
        <w:tc>
          <w:tcPr>
            <w:tcW w:w="2060" w:type="dxa"/>
            <w:tcBorders>
              <w:left w:val="single" w:color="000000" w:sz="6" w:space="0"/>
              <w:bottom w:val="single" w:color="000000" w:sz="6" w:space="0"/>
            </w:tcBorders>
          </w:tcPr>
          <w:p>
            <w:pPr>
              <w:pStyle w:val="45"/>
              <w:spacing w:before="98"/>
              <w:ind w:left="835" w:right="681"/>
              <w:jc w:val="center"/>
              <w:rPr>
                <w:color w:val="auto"/>
                <w:sz w:val="24"/>
              </w:rPr>
            </w:pPr>
            <w:r>
              <w:rPr>
                <w:color w:val="auto"/>
                <w:sz w:val="24"/>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before="2"/>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before="2"/>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before="2"/>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before="2"/>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before="2"/>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before="2"/>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before="2"/>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before="2"/>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before="2"/>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965" w:type="dxa"/>
            <w:tcBorders>
              <w:top w:val="single" w:color="000000" w:sz="6" w:space="0"/>
              <w:bottom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line="307" w:lineRule="exact"/>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965" w:type="dxa"/>
            <w:tcBorders>
              <w:top w:val="single" w:color="000000" w:sz="6" w:space="0"/>
              <w:bottom w:val="single" w:color="000000" w:sz="6" w:space="0"/>
              <w:right w:val="single" w:color="000000" w:sz="6" w:space="0"/>
            </w:tcBorders>
          </w:tcPr>
          <w:p>
            <w:pPr>
              <w:pStyle w:val="45"/>
              <w:spacing w:before="2"/>
              <w:ind w:left="141"/>
              <w:jc w:val="center"/>
              <w:rPr>
                <w:color w:val="auto"/>
                <w:sz w:val="24"/>
              </w:rPr>
            </w:pPr>
            <w:r>
              <w:rPr>
                <w:color w:val="auto"/>
                <w:sz w:val="24"/>
              </w:rPr>
              <w:t xml:space="preserve"> </w:t>
            </w:r>
          </w:p>
        </w:tc>
        <w:tc>
          <w:tcPr>
            <w:tcW w:w="6477" w:type="dxa"/>
            <w:tcBorders>
              <w:top w:val="single" w:color="000000" w:sz="6" w:space="0"/>
              <w:left w:val="single" w:color="000000" w:sz="6" w:space="0"/>
              <w:bottom w:val="single" w:color="000000" w:sz="6" w:space="0"/>
              <w:right w:val="single" w:color="000000" w:sz="6" w:space="0"/>
            </w:tcBorders>
          </w:tcPr>
          <w:p>
            <w:pPr>
              <w:pStyle w:val="45"/>
              <w:spacing w:before="2"/>
              <w:ind w:left="142"/>
              <w:jc w:val="center"/>
              <w:rPr>
                <w:color w:val="auto"/>
                <w:sz w:val="24"/>
              </w:rPr>
            </w:pPr>
            <w:r>
              <w:rPr>
                <w:color w:val="auto"/>
                <w:sz w:val="24"/>
              </w:rPr>
              <w:t xml:space="preserve"> </w:t>
            </w:r>
          </w:p>
        </w:tc>
        <w:tc>
          <w:tcPr>
            <w:tcW w:w="2060" w:type="dxa"/>
            <w:tcBorders>
              <w:top w:val="single" w:color="000000" w:sz="6" w:space="0"/>
              <w:left w:val="single" w:color="000000" w:sz="6" w:space="0"/>
              <w:bottom w:val="single" w:color="000000" w:sz="6" w:space="0"/>
            </w:tcBorders>
          </w:tcPr>
          <w:p>
            <w:pPr>
              <w:pStyle w:val="45"/>
              <w:spacing w:before="2"/>
              <w:ind w:left="154"/>
              <w:jc w:val="center"/>
              <w:rPr>
                <w:color w:val="auto"/>
                <w:sz w:val="24"/>
              </w:rPr>
            </w:pPr>
            <w:r>
              <w:rPr>
                <w:color w:val="auto"/>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4" w:hRule="atLeast"/>
        </w:trPr>
        <w:tc>
          <w:tcPr>
            <w:tcW w:w="965" w:type="dxa"/>
            <w:tcBorders>
              <w:top w:val="single" w:color="000000" w:sz="6" w:space="0"/>
              <w:right w:val="single" w:color="000000" w:sz="6" w:space="0"/>
            </w:tcBorders>
          </w:tcPr>
          <w:p>
            <w:pPr>
              <w:pStyle w:val="45"/>
              <w:spacing w:line="307" w:lineRule="exact"/>
              <w:ind w:left="141"/>
              <w:jc w:val="center"/>
              <w:rPr>
                <w:color w:val="auto"/>
                <w:sz w:val="24"/>
              </w:rPr>
            </w:pPr>
            <w:r>
              <w:rPr>
                <w:color w:val="auto"/>
                <w:sz w:val="24"/>
              </w:rPr>
              <w:t xml:space="preserve"> </w:t>
            </w:r>
          </w:p>
        </w:tc>
        <w:tc>
          <w:tcPr>
            <w:tcW w:w="6477" w:type="dxa"/>
            <w:tcBorders>
              <w:top w:val="single" w:color="000000" w:sz="6" w:space="0"/>
              <w:left w:val="single" w:color="000000" w:sz="6" w:space="0"/>
              <w:right w:val="single" w:color="000000" w:sz="6" w:space="0"/>
            </w:tcBorders>
          </w:tcPr>
          <w:p>
            <w:pPr>
              <w:pStyle w:val="45"/>
              <w:spacing w:line="307" w:lineRule="exact"/>
              <w:ind w:left="142"/>
              <w:jc w:val="center"/>
              <w:rPr>
                <w:color w:val="auto"/>
                <w:sz w:val="24"/>
              </w:rPr>
            </w:pPr>
            <w:r>
              <w:rPr>
                <w:color w:val="auto"/>
                <w:sz w:val="24"/>
              </w:rPr>
              <w:t xml:space="preserve"> </w:t>
            </w:r>
          </w:p>
        </w:tc>
        <w:tc>
          <w:tcPr>
            <w:tcW w:w="2060" w:type="dxa"/>
            <w:tcBorders>
              <w:top w:val="single" w:color="000000" w:sz="6" w:space="0"/>
              <w:left w:val="single" w:color="000000" w:sz="6" w:space="0"/>
            </w:tcBorders>
          </w:tcPr>
          <w:p>
            <w:pPr>
              <w:pStyle w:val="45"/>
              <w:spacing w:line="307" w:lineRule="exact"/>
              <w:ind w:left="154"/>
              <w:jc w:val="center"/>
              <w:rPr>
                <w:color w:val="auto"/>
                <w:sz w:val="24"/>
              </w:rPr>
            </w:pPr>
            <w:r>
              <w:rPr>
                <w:color w:val="auto"/>
                <w:sz w:val="24"/>
              </w:rPr>
              <w:t xml:space="preserve"> </w:t>
            </w:r>
          </w:p>
        </w:tc>
      </w:tr>
    </w:tbl>
    <w:p>
      <w:pPr>
        <w:spacing w:before="3"/>
        <w:ind w:left="860"/>
        <w:rPr>
          <w:color w:val="auto"/>
        </w:rPr>
      </w:pPr>
      <w:r>
        <w:rPr>
          <w:color w:val="auto"/>
        </w:rPr>
        <w:t xml:space="preserve">评标委员会全体成员签字/日期： </w:t>
      </w:r>
    </w:p>
    <w:p>
      <w:pPr>
        <w:spacing w:before="148"/>
        <w:ind w:left="860"/>
        <w:rPr>
          <w:color w:val="auto"/>
        </w:rPr>
      </w:pPr>
      <w:r>
        <w:rPr>
          <w:color w:val="auto"/>
        </w:rPr>
        <w:t xml:space="preserve"> </w:t>
      </w:r>
    </w:p>
    <w:p>
      <w:pPr>
        <w:spacing w:before="145"/>
        <w:ind w:left="860"/>
        <w:rPr>
          <w:color w:val="auto"/>
        </w:rPr>
      </w:pPr>
      <w:r>
        <w:rPr>
          <w:color w:val="auto"/>
        </w:rPr>
        <w:t xml:space="preserve"> </w:t>
      </w:r>
    </w:p>
    <w:p>
      <w:pPr>
        <w:spacing w:before="146"/>
        <w:ind w:left="860"/>
        <w:rPr>
          <w:color w:val="auto"/>
        </w:rPr>
      </w:pPr>
      <w:r>
        <w:rPr>
          <w:color w:val="auto"/>
        </w:rPr>
        <w:t>备注：本表中投标人排名不分先后。</w:t>
      </w:r>
    </w:p>
    <w:p>
      <w:pPr>
        <w:rPr>
          <w:color w:val="auto"/>
        </w:rPr>
        <w:sectPr>
          <w:pgSz w:w="11900" w:h="16840"/>
          <w:pgMar w:top="1380" w:right="980" w:bottom="1200" w:left="1000" w:header="109" w:footer="1002" w:gutter="0"/>
          <w:cols w:space="720" w:num="1"/>
        </w:sectPr>
      </w:pPr>
    </w:p>
    <w:p>
      <w:pPr>
        <w:pStyle w:val="8"/>
        <w:spacing w:before="4"/>
        <w:rPr>
          <w:color w:val="auto"/>
          <w:sz w:val="11"/>
        </w:rPr>
      </w:pPr>
    </w:p>
    <w:p>
      <w:pPr>
        <w:spacing w:before="1"/>
        <w:ind w:left="430"/>
        <w:rPr>
          <w:color w:val="auto"/>
          <w:sz w:val="24"/>
        </w:rPr>
      </w:pPr>
      <w:r>
        <w:rPr>
          <w:color w:val="auto"/>
          <w:sz w:val="24"/>
        </w:rPr>
        <w:t>附表 3-8：</w:t>
      </w:r>
      <w:r>
        <w:rPr>
          <w:b/>
          <w:color w:val="auto"/>
          <w:sz w:val="24"/>
        </w:rPr>
        <w:t>技术标（承包人建议书和承包人实施方案）评</w:t>
      </w:r>
      <w:r>
        <w:rPr>
          <w:color w:val="auto"/>
          <w:sz w:val="24"/>
        </w:rPr>
        <w:t>审计分表</w:t>
      </w:r>
    </w:p>
    <w:p>
      <w:pPr>
        <w:pStyle w:val="4"/>
        <w:spacing w:before="180"/>
        <w:ind w:left="2275" w:right="2285"/>
        <w:jc w:val="center"/>
        <w:rPr>
          <w:rFonts w:hint="eastAsia" w:eastAsia="宋体"/>
          <w:lang w:eastAsia="zh-CN"/>
        </w:rPr>
      </w:pPr>
      <w:r>
        <w:rPr>
          <w:color w:val="auto"/>
        </w:rPr>
        <w:t>技术标（承包人建议书和承包人实施方案）评</w:t>
      </w:r>
      <w:r>
        <w:rPr>
          <w:b w:val="0"/>
          <w:color w:val="auto"/>
        </w:rPr>
        <w:t>审计分表</w:t>
      </w:r>
    </w:p>
    <w:tbl>
      <w:tblPr>
        <w:tblStyle w:val="17"/>
        <w:tblpPr w:leftFromText="180" w:rightFromText="180" w:vertAnchor="text" w:horzAnchor="page" w:tblpX="1165"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50"/>
        <w:gridCol w:w="6450"/>
        <w:gridCol w:w="7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6"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序号</w:t>
            </w:r>
          </w:p>
        </w:tc>
        <w:tc>
          <w:tcPr>
            <w:tcW w:w="13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项目</w:t>
            </w:r>
          </w:p>
        </w:tc>
        <w:tc>
          <w:tcPr>
            <w:tcW w:w="64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评审标准</w:t>
            </w:r>
          </w:p>
        </w:tc>
        <w:tc>
          <w:tcPr>
            <w:tcW w:w="791"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标准分</w:t>
            </w:r>
          </w:p>
        </w:tc>
        <w:tc>
          <w:tcPr>
            <w:tcW w:w="709" w:type="dxa"/>
          </w:tcPr>
          <w:p>
            <w:pPr>
              <w:spacing w:before="61"/>
              <w:jc w:val="both"/>
              <w:rPr>
                <w:color w:val="auto"/>
                <w:sz w:val="18"/>
                <w:szCs w:val="18"/>
                <w:vertAlign w:val="baseline"/>
              </w:rPr>
            </w:pPr>
            <w:r>
              <w:rPr>
                <w:b/>
                <w:color w:val="auto"/>
                <w:sz w:val="18"/>
                <w:szCs w:val="18"/>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6" w:type="dxa"/>
            <w:vMerge w:val="restart"/>
          </w:tcPr>
          <w:p>
            <w:pPr>
              <w:spacing w:before="61"/>
              <w:jc w:val="both"/>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350" w:type="dxa"/>
            <w:vMerge w:val="restart"/>
            <w:vAlign w:val="center"/>
          </w:tcPr>
          <w:p>
            <w:pPr>
              <w:spacing w:before="61"/>
              <w:jc w:val="center"/>
              <w:rPr>
                <w:rFonts w:hint="eastAsia"/>
                <w:color w:val="auto"/>
                <w:sz w:val="18"/>
                <w:szCs w:val="18"/>
                <w:vertAlign w:val="baseline"/>
                <w:lang w:eastAsia="zh-CN"/>
              </w:rPr>
            </w:pPr>
            <w:r>
              <w:rPr>
                <w:rFonts w:hint="eastAsia"/>
                <w:color w:val="auto"/>
                <w:sz w:val="18"/>
                <w:szCs w:val="18"/>
                <w:vertAlign w:val="baseline"/>
                <w:lang w:eastAsia="zh-CN"/>
              </w:rPr>
              <w:t>设计说明</w:t>
            </w:r>
          </w:p>
          <w:p>
            <w:pPr>
              <w:spacing w:before="61"/>
              <w:jc w:val="center"/>
              <w:rPr>
                <w:rFonts w:hint="eastAsia"/>
                <w:color w:val="auto"/>
                <w:sz w:val="18"/>
                <w:szCs w:val="18"/>
                <w:vertAlign w:val="baseline"/>
                <w:lang w:eastAsia="zh-CN"/>
              </w:rPr>
            </w:pPr>
            <w:r>
              <w:rPr>
                <w:rFonts w:hint="eastAsia"/>
                <w:color w:val="auto"/>
                <w:sz w:val="18"/>
                <w:szCs w:val="18"/>
                <w:vertAlign w:val="baseline"/>
                <w:lang w:eastAsia="zh-CN"/>
              </w:rPr>
              <w:t>（</w:t>
            </w:r>
            <w:r>
              <w:rPr>
                <w:rFonts w:hint="eastAsia"/>
                <w:color w:val="auto"/>
                <w:sz w:val="18"/>
                <w:szCs w:val="18"/>
                <w:vertAlign w:val="baseline"/>
                <w:lang w:val="en-US" w:eastAsia="zh-CN"/>
              </w:rPr>
              <w:t>5分</w:t>
            </w:r>
            <w:r>
              <w:rPr>
                <w:rFonts w:hint="eastAsia"/>
                <w:color w:val="auto"/>
                <w:sz w:val="18"/>
                <w:szCs w:val="18"/>
                <w:vertAlign w:val="baseline"/>
                <w:lang w:eastAsia="zh-CN"/>
              </w:rPr>
              <w:t>）</w:t>
            </w:r>
          </w:p>
        </w:tc>
        <w:tc>
          <w:tcPr>
            <w:tcW w:w="6450" w:type="dxa"/>
          </w:tcPr>
          <w:p>
            <w:pPr>
              <w:spacing w:before="61"/>
              <w:jc w:val="both"/>
              <w:rPr>
                <w:rFonts w:hint="eastAsia"/>
                <w:color w:val="auto"/>
                <w:sz w:val="18"/>
                <w:szCs w:val="18"/>
                <w:vertAlign w:val="baseline"/>
                <w:lang w:eastAsia="zh-CN"/>
              </w:rPr>
            </w:pPr>
            <w:r>
              <w:rPr>
                <w:rFonts w:hint="eastAsia"/>
                <w:color w:val="auto"/>
                <w:sz w:val="18"/>
                <w:szCs w:val="18"/>
                <w:vertAlign w:val="baseline"/>
                <w:lang w:eastAsia="zh-CN"/>
              </w:rPr>
              <w:t>设计标准及原则是否符合强制性条文要求，环境、节能、环保、是否符合国家规范要求</w:t>
            </w:r>
          </w:p>
        </w:tc>
        <w:tc>
          <w:tcPr>
            <w:tcW w:w="791" w:type="dxa"/>
          </w:tcPr>
          <w:p>
            <w:pPr>
              <w:spacing w:before="61"/>
              <w:jc w:val="both"/>
              <w:rPr>
                <w:rFonts w:hint="default"/>
                <w:color w:val="auto"/>
                <w:sz w:val="18"/>
                <w:szCs w:val="18"/>
                <w:vertAlign w:val="baseline"/>
                <w:lang w:val="en-US" w:eastAsia="zh-CN"/>
              </w:rPr>
            </w:pPr>
            <w:r>
              <w:rPr>
                <w:rFonts w:hint="eastAsia"/>
                <w:color w:val="auto"/>
                <w:sz w:val="18"/>
                <w:szCs w:val="18"/>
                <w:vertAlign w:val="baseline"/>
                <w:lang w:val="en-US" w:eastAsia="zh-CN"/>
              </w:rPr>
              <w:t>1-3</w:t>
            </w:r>
          </w:p>
        </w:tc>
        <w:tc>
          <w:tcPr>
            <w:tcW w:w="709" w:type="dxa"/>
          </w:tcPr>
          <w:p>
            <w:pPr>
              <w:spacing w:before="61"/>
              <w:jc w:val="both"/>
              <w:rPr>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6" w:type="dxa"/>
            <w:vMerge w:val="continue"/>
          </w:tcPr>
          <w:p>
            <w:pPr>
              <w:spacing w:before="61"/>
              <w:jc w:val="both"/>
              <w:rPr>
                <w:rFonts w:hint="eastAsia"/>
                <w:color w:val="auto"/>
                <w:sz w:val="18"/>
                <w:szCs w:val="18"/>
                <w:vertAlign w:val="baseline"/>
                <w:lang w:eastAsia="zh-CN"/>
              </w:rPr>
            </w:pPr>
          </w:p>
        </w:tc>
        <w:tc>
          <w:tcPr>
            <w:tcW w:w="1350" w:type="dxa"/>
            <w:vMerge w:val="continue"/>
          </w:tcPr>
          <w:p>
            <w:pPr>
              <w:spacing w:before="61"/>
              <w:jc w:val="both"/>
              <w:rPr>
                <w:rFonts w:hint="eastAsia"/>
                <w:color w:val="auto"/>
                <w:sz w:val="18"/>
                <w:szCs w:val="18"/>
                <w:vertAlign w:val="baseline"/>
                <w:lang w:eastAsia="zh-CN"/>
              </w:rPr>
            </w:pPr>
          </w:p>
        </w:tc>
        <w:tc>
          <w:tcPr>
            <w:tcW w:w="6450" w:type="dxa"/>
          </w:tcPr>
          <w:p>
            <w:pPr>
              <w:spacing w:before="61"/>
              <w:jc w:val="both"/>
              <w:rPr>
                <w:rFonts w:hint="eastAsia"/>
                <w:color w:val="auto"/>
                <w:sz w:val="18"/>
                <w:szCs w:val="18"/>
                <w:vertAlign w:val="baseline"/>
                <w:lang w:eastAsia="zh-CN"/>
              </w:rPr>
            </w:pPr>
            <w:r>
              <w:rPr>
                <w:rFonts w:hint="eastAsia"/>
                <w:color w:val="auto"/>
                <w:sz w:val="18"/>
                <w:szCs w:val="18"/>
                <w:vertAlign w:val="baseline"/>
                <w:lang w:eastAsia="zh-CN"/>
              </w:rPr>
              <w:t>功能是否满足需求，主要专业设计说明是否合理、完整；是否满足设计要点及设计规范要求</w:t>
            </w:r>
          </w:p>
        </w:tc>
        <w:tc>
          <w:tcPr>
            <w:tcW w:w="791" w:type="dxa"/>
          </w:tcPr>
          <w:p>
            <w:pPr>
              <w:spacing w:before="61"/>
              <w:jc w:val="both"/>
              <w:rPr>
                <w:rFonts w:hint="default"/>
                <w:color w:val="auto"/>
                <w:sz w:val="18"/>
                <w:szCs w:val="18"/>
                <w:vertAlign w:val="baseline"/>
                <w:lang w:val="en-US" w:eastAsia="zh-CN"/>
              </w:rPr>
            </w:pPr>
            <w:r>
              <w:rPr>
                <w:rFonts w:hint="eastAsia"/>
                <w:color w:val="auto"/>
                <w:sz w:val="18"/>
                <w:szCs w:val="18"/>
                <w:vertAlign w:val="baseline"/>
                <w:lang w:val="en-US" w:eastAsia="zh-CN"/>
              </w:rPr>
              <w:t>1-2</w:t>
            </w:r>
          </w:p>
        </w:tc>
        <w:tc>
          <w:tcPr>
            <w:tcW w:w="709" w:type="dxa"/>
          </w:tcPr>
          <w:p>
            <w:pPr>
              <w:spacing w:before="61"/>
              <w:jc w:val="both"/>
              <w:rPr>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96" w:type="dxa"/>
            <w:vMerge w:val="restart"/>
            <w:vAlign w:val="center"/>
          </w:tcPr>
          <w:p>
            <w:pPr>
              <w:spacing w:before="61"/>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2</w:t>
            </w:r>
          </w:p>
        </w:tc>
        <w:tc>
          <w:tcPr>
            <w:tcW w:w="1350" w:type="dxa"/>
            <w:vMerge w:val="restart"/>
            <w:vAlign w:val="center"/>
          </w:tcPr>
          <w:p>
            <w:pPr>
              <w:spacing w:before="61"/>
              <w:jc w:val="center"/>
              <w:rPr>
                <w:rFonts w:hint="eastAsia"/>
                <w:color w:val="auto"/>
                <w:sz w:val="18"/>
                <w:szCs w:val="18"/>
                <w:lang w:eastAsia="zh-CN"/>
              </w:rPr>
            </w:pPr>
            <w:r>
              <w:rPr>
                <w:rFonts w:hint="eastAsia"/>
                <w:color w:val="auto"/>
                <w:sz w:val="18"/>
                <w:szCs w:val="18"/>
                <w:lang w:eastAsia="zh-CN"/>
              </w:rPr>
              <w:t>优化设计</w:t>
            </w:r>
          </w:p>
          <w:p>
            <w:pPr>
              <w:pStyle w:val="32"/>
              <w:ind w:left="0" w:leftChars="0" w:firstLine="0" w:firstLineChars="0"/>
              <w:jc w:val="center"/>
              <w:rPr>
                <w:rFonts w:hint="eastAsia"/>
                <w:color w:val="auto"/>
                <w:sz w:val="18"/>
                <w:szCs w:val="18"/>
                <w:lang w:eastAsia="zh-CN"/>
              </w:rPr>
            </w:pPr>
            <w:r>
              <w:rPr>
                <w:rFonts w:hint="eastAsia"/>
                <w:color w:val="auto"/>
                <w:sz w:val="18"/>
                <w:szCs w:val="18"/>
                <w:vertAlign w:val="baseline"/>
                <w:lang w:eastAsia="zh-CN"/>
              </w:rPr>
              <w:t>（</w:t>
            </w:r>
            <w:r>
              <w:rPr>
                <w:rFonts w:hint="eastAsia"/>
                <w:color w:val="auto"/>
                <w:sz w:val="18"/>
                <w:szCs w:val="18"/>
                <w:vertAlign w:val="baseline"/>
                <w:lang w:val="en-US" w:eastAsia="zh-CN"/>
              </w:rPr>
              <w:t>25分</w:t>
            </w:r>
            <w:r>
              <w:rPr>
                <w:rFonts w:hint="eastAsia"/>
                <w:color w:val="auto"/>
                <w:sz w:val="18"/>
                <w:szCs w:val="18"/>
                <w:vertAlign w:val="baseline"/>
                <w:lang w:eastAsia="zh-CN"/>
              </w:rPr>
              <w:t>）</w:t>
            </w:r>
          </w:p>
        </w:tc>
        <w:tc>
          <w:tcPr>
            <w:tcW w:w="64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建筑、结构、水电、园林绿化等专业设计内容详实，平、立、剖面图、重点详图齐全，且科学合理达到指导施工的要求。</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25</w:t>
            </w:r>
          </w:p>
        </w:tc>
        <w:tc>
          <w:tcPr>
            <w:tcW w:w="709" w:type="dxa"/>
          </w:tcPr>
          <w:p>
            <w:pPr>
              <w:spacing w:before="61"/>
              <w:jc w:val="both"/>
              <w:rPr>
                <w:color w:val="FF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rFonts w:hint="eastAsia" w:eastAsia="宋体"/>
                <w:color w:val="auto"/>
                <w:sz w:val="18"/>
                <w:szCs w:val="18"/>
                <w:vertAlign w:val="baseline"/>
                <w:lang w:val="en-US" w:eastAsia="zh-CN"/>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建筑、结构、水电、园林绿化等专业设计内容基本详实，平、立、剖基本齐全。</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15-10</w:t>
            </w:r>
          </w:p>
        </w:tc>
        <w:tc>
          <w:tcPr>
            <w:tcW w:w="709" w:type="dxa"/>
          </w:tcPr>
          <w:p>
            <w:pPr>
              <w:spacing w:before="61"/>
              <w:jc w:val="both"/>
              <w:rPr>
                <w:color w:val="FF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color w:val="auto"/>
                <w:sz w:val="18"/>
                <w:szCs w:val="18"/>
                <w:vertAlign w:val="baseline"/>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建筑、结构、水电、园林绿化等专业设计内容不齐全，平、立、剖面图不齐全。</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5-3</w:t>
            </w:r>
          </w:p>
        </w:tc>
        <w:tc>
          <w:tcPr>
            <w:tcW w:w="709" w:type="dxa"/>
          </w:tcPr>
          <w:p>
            <w:pPr>
              <w:spacing w:before="61"/>
              <w:jc w:val="both"/>
              <w:rPr>
                <w:color w:val="FF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before="61"/>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3</w:t>
            </w:r>
          </w:p>
        </w:tc>
        <w:tc>
          <w:tcPr>
            <w:tcW w:w="1350" w:type="dxa"/>
            <w:vMerge w:val="restart"/>
            <w:vAlign w:val="center"/>
          </w:tcPr>
          <w:p>
            <w:pPr>
              <w:spacing w:before="61"/>
              <w:jc w:val="center"/>
              <w:rPr>
                <w:rFonts w:hint="eastAsia"/>
                <w:color w:val="auto"/>
                <w:sz w:val="18"/>
                <w:szCs w:val="18"/>
                <w:lang w:eastAsia="zh-CN"/>
              </w:rPr>
            </w:pPr>
            <w:r>
              <w:rPr>
                <w:rFonts w:hint="eastAsia"/>
                <w:color w:val="auto"/>
                <w:sz w:val="18"/>
                <w:szCs w:val="18"/>
                <w:lang w:eastAsia="zh-CN"/>
              </w:rPr>
              <w:t>设计效果图</w:t>
            </w:r>
          </w:p>
          <w:p>
            <w:pPr>
              <w:pStyle w:val="32"/>
              <w:ind w:left="0" w:leftChars="0" w:firstLine="0" w:firstLineChars="0"/>
              <w:jc w:val="center"/>
              <w:rPr>
                <w:rFonts w:hint="eastAsia"/>
                <w:color w:val="auto"/>
                <w:sz w:val="18"/>
                <w:szCs w:val="18"/>
                <w:lang w:eastAsia="zh-CN"/>
              </w:rPr>
            </w:pPr>
            <w:r>
              <w:rPr>
                <w:rFonts w:hint="eastAsia"/>
                <w:color w:val="auto"/>
                <w:sz w:val="18"/>
                <w:szCs w:val="18"/>
                <w:vertAlign w:val="baseline"/>
                <w:lang w:eastAsia="zh-CN"/>
              </w:rPr>
              <w:t>（</w:t>
            </w:r>
            <w:r>
              <w:rPr>
                <w:rFonts w:hint="eastAsia"/>
                <w:color w:val="auto"/>
                <w:sz w:val="18"/>
                <w:szCs w:val="18"/>
                <w:vertAlign w:val="baseline"/>
                <w:lang w:val="en-US" w:eastAsia="zh-CN"/>
              </w:rPr>
              <w:t>20分</w:t>
            </w:r>
            <w:r>
              <w:rPr>
                <w:rFonts w:hint="eastAsia"/>
                <w:color w:val="auto"/>
                <w:sz w:val="18"/>
                <w:szCs w:val="18"/>
                <w:vertAlign w:val="baseline"/>
                <w:lang w:eastAsia="zh-CN"/>
              </w:rPr>
              <w:t>）</w:t>
            </w:r>
          </w:p>
        </w:tc>
        <w:tc>
          <w:tcPr>
            <w:tcW w:w="64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平面功能布局合理，满足建筑功能性，绿化园林符合项目整体要求，设计美观</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20</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color w:val="auto"/>
                <w:sz w:val="18"/>
                <w:szCs w:val="18"/>
                <w:vertAlign w:val="baseline"/>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平面功能布局基本合理，基本满足建筑功能性，绿化园林基本符合项目整体要求，设计较美观</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10-5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color w:val="auto"/>
                <w:sz w:val="18"/>
                <w:szCs w:val="18"/>
                <w:vertAlign w:val="baseline"/>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平面功能布局不合理，不满足建筑功能性，绿化园林不符合项目整体要求，设计不美观</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5-3</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before="61"/>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4</w:t>
            </w:r>
          </w:p>
        </w:tc>
        <w:tc>
          <w:tcPr>
            <w:tcW w:w="1350" w:type="dxa"/>
            <w:vMerge w:val="restart"/>
            <w:vAlign w:val="center"/>
          </w:tcPr>
          <w:p>
            <w:pPr>
              <w:spacing w:before="61"/>
              <w:jc w:val="center"/>
              <w:rPr>
                <w:rFonts w:hint="eastAsia" w:eastAsia="宋体"/>
                <w:color w:val="auto"/>
                <w:sz w:val="18"/>
                <w:szCs w:val="18"/>
                <w:vertAlign w:val="baseline"/>
                <w:lang w:eastAsia="zh-CN"/>
              </w:rPr>
            </w:pPr>
            <w:r>
              <w:rPr>
                <w:rFonts w:hint="eastAsia"/>
                <w:color w:val="auto"/>
                <w:sz w:val="18"/>
                <w:szCs w:val="18"/>
                <w:vertAlign w:val="baseline"/>
                <w:lang w:eastAsia="zh-CN"/>
              </w:rPr>
              <w:t>结构工程专业（</w:t>
            </w:r>
            <w:r>
              <w:rPr>
                <w:rFonts w:hint="eastAsia"/>
                <w:color w:val="auto"/>
                <w:sz w:val="18"/>
                <w:szCs w:val="18"/>
                <w:vertAlign w:val="baseline"/>
                <w:lang w:val="en-US" w:eastAsia="zh-CN"/>
              </w:rPr>
              <w:t>20分</w:t>
            </w:r>
            <w:r>
              <w:rPr>
                <w:rFonts w:hint="eastAsia"/>
                <w:color w:val="auto"/>
                <w:sz w:val="18"/>
                <w:szCs w:val="18"/>
                <w:vertAlign w:val="baseline"/>
                <w:lang w:eastAsia="zh-CN"/>
              </w:rPr>
              <w:t>）</w:t>
            </w:r>
          </w:p>
        </w:tc>
        <w:tc>
          <w:tcPr>
            <w:tcW w:w="64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满足本项目结构设计的要求，且有结构计算书，结构设计具有经济性，科学合理。</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20</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color w:val="auto"/>
                <w:sz w:val="18"/>
                <w:szCs w:val="18"/>
                <w:vertAlign w:val="baseline"/>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基本满足本项目结构设计的要求，且结构设计合理。</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10-5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spacing w:before="61"/>
              <w:jc w:val="center"/>
              <w:rPr>
                <w:color w:val="auto"/>
                <w:sz w:val="18"/>
                <w:szCs w:val="18"/>
                <w:vertAlign w:val="baseline"/>
              </w:rPr>
            </w:pPr>
          </w:p>
        </w:tc>
        <w:tc>
          <w:tcPr>
            <w:tcW w:w="1350" w:type="dxa"/>
            <w:vMerge w:val="continue"/>
            <w:vAlign w:val="center"/>
          </w:tcPr>
          <w:p>
            <w:pPr>
              <w:spacing w:before="61"/>
              <w:jc w:val="center"/>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不满足本项目结构设计的要求，且结构设计不合理。</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5-3</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pPr>
              <w:spacing w:before="61"/>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5</w:t>
            </w:r>
          </w:p>
        </w:tc>
        <w:tc>
          <w:tcPr>
            <w:tcW w:w="1350" w:type="dxa"/>
            <w:vMerge w:val="restart"/>
            <w:vAlign w:val="center"/>
          </w:tcPr>
          <w:p>
            <w:pPr>
              <w:spacing w:before="61"/>
              <w:jc w:val="center"/>
              <w:rPr>
                <w:rFonts w:hint="eastAsia" w:eastAsia="宋体"/>
                <w:color w:val="auto"/>
                <w:sz w:val="18"/>
                <w:szCs w:val="18"/>
                <w:vertAlign w:val="baseline"/>
                <w:lang w:eastAsia="zh-CN"/>
              </w:rPr>
            </w:pPr>
            <w:r>
              <w:rPr>
                <w:rFonts w:hint="eastAsia"/>
                <w:color w:val="auto"/>
                <w:sz w:val="18"/>
                <w:szCs w:val="18"/>
                <w:vertAlign w:val="baseline"/>
                <w:lang w:eastAsia="zh-CN"/>
              </w:rPr>
              <w:t>安装工程专业（</w:t>
            </w:r>
            <w:r>
              <w:rPr>
                <w:rFonts w:hint="eastAsia"/>
                <w:color w:val="auto"/>
                <w:sz w:val="18"/>
                <w:szCs w:val="18"/>
                <w:vertAlign w:val="baseline"/>
                <w:lang w:val="en-US" w:eastAsia="zh-CN"/>
              </w:rPr>
              <w:t>10分</w:t>
            </w:r>
            <w:r>
              <w:rPr>
                <w:rFonts w:hint="eastAsia"/>
                <w:color w:val="auto"/>
                <w:sz w:val="18"/>
                <w:szCs w:val="18"/>
                <w:vertAlign w:val="baseline"/>
                <w:lang w:eastAsia="zh-CN"/>
              </w:rPr>
              <w:t>）</w:t>
            </w:r>
          </w:p>
        </w:tc>
        <w:tc>
          <w:tcPr>
            <w:tcW w:w="6450" w:type="dxa"/>
          </w:tcPr>
          <w:p>
            <w:pPr>
              <w:spacing w:before="61"/>
              <w:jc w:val="both"/>
              <w:rPr>
                <w:rFonts w:hint="eastAsia" w:eastAsia="宋体"/>
                <w:color w:val="auto"/>
                <w:sz w:val="18"/>
                <w:szCs w:val="18"/>
                <w:vertAlign w:val="baseline"/>
                <w:lang w:eastAsia="zh-CN"/>
              </w:rPr>
            </w:pPr>
            <w:r>
              <w:rPr>
                <w:rFonts w:hint="eastAsia"/>
                <w:color w:val="auto"/>
                <w:sz w:val="18"/>
                <w:szCs w:val="18"/>
                <w:vertAlign w:val="baseline"/>
                <w:lang w:eastAsia="zh-CN"/>
              </w:rPr>
              <w:t>满足本项目建筑电气、给排水、通风等专业设计的要求，目录、设计说明、设计图、主要设备表、计算书设计内容完整，且符合安全、节能、环保等要求，科学合理。</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10</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spacing w:before="61"/>
              <w:jc w:val="both"/>
              <w:rPr>
                <w:color w:val="auto"/>
                <w:sz w:val="18"/>
                <w:szCs w:val="18"/>
                <w:vertAlign w:val="baseline"/>
              </w:rPr>
            </w:pPr>
          </w:p>
        </w:tc>
        <w:tc>
          <w:tcPr>
            <w:tcW w:w="1350" w:type="dxa"/>
            <w:vMerge w:val="continue"/>
          </w:tcPr>
          <w:p>
            <w:pPr>
              <w:spacing w:before="61"/>
              <w:jc w:val="both"/>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基本满足本项目建筑电气、给排水、通风等专业设计的要求，目录、设计说明、设计图、主要设备表、计算书设计内容基本完整，且基本符合安全、节能、环保等要求，科学合理。</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5-3</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tcPr>
          <w:p>
            <w:pPr>
              <w:spacing w:before="61"/>
              <w:jc w:val="both"/>
              <w:rPr>
                <w:color w:val="auto"/>
                <w:sz w:val="18"/>
                <w:szCs w:val="18"/>
                <w:vertAlign w:val="baseline"/>
              </w:rPr>
            </w:pPr>
          </w:p>
        </w:tc>
        <w:tc>
          <w:tcPr>
            <w:tcW w:w="1350" w:type="dxa"/>
            <w:vMerge w:val="continue"/>
          </w:tcPr>
          <w:p>
            <w:pPr>
              <w:spacing w:before="61"/>
              <w:jc w:val="both"/>
              <w:rPr>
                <w:color w:val="auto"/>
                <w:sz w:val="18"/>
                <w:szCs w:val="18"/>
                <w:vertAlign w:val="baseline"/>
              </w:rPr>
            </w:pPr>
          </w:p>
        </w:tc>
        <w:tc>
          <w:tcPr>
            <w:tcW w:w="6450" w:type="dxa"/>
          </w:tcPr>
          <w:p>
            <w:pPr>
              <w:spacing w:before="61"/>
              <w:jc w:val="both"/>
              <w:rPr>
                <w:color w:val="auto"/>
                <w:sz w:val="18"/>
                <w:szCs w:val="18"/>
                <w:vertAlign w:val="baseline"/>
              </w:rPr>
            </w:pPr>
            <w:r>
              <w:rPr>
                <w:rFonts w:hint="eastAsia"/>
                <w:color w:val="auto"/>
                <w:sz w:val="18"/>
                <w:szCs w:val="18"/>
                <w:vertAlign w:val="baseline"/>
                <w:lang w:eastAsia="zh-CN"/>
              </w:rPr>
              <w:t>不满足本项目建筑电气、给排水、通风等专业设计的要求，目录、设计说明、设计图、主要设备表、计算书设计内容不完整，且不符合安全、节能、环保等要求。</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3-1</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before="61"/>
              <w:jc w:val="center"/>
              <w:rPr>
                <w:rFonts w:hint="eastAsia" w:eastAsia="宋体"/>
                <w:color w:val="auto"/>
                <w:sz w:val="18"/>
                <w:szCs w:val="18"/>
                <w:vertAlign w:val="baseline"/>
                <w:lang w:val="en-US" w:eastAsia="zh-CN"/>
              </w:rPr>
            </w:pPr>
            <w:r>
              <w:rPr>
                <w:rFonts w:hint="eastAsia"/>
                <w:color w:val="auto"/>
                <w:sz w:val="18"/>
                <w:szCs w:val="18"/>
                <w:vertAlign w:val="baseline"/>
                <w:lang w:val="en-US" w:eastAsia="zh-CN"/>
              </w:rPr>
              <w:t>6</w:t>
            </w:r>
          </w:p>
        </w:tc>
        <w:tc>
          <w:tcPr>
            <w:tcW w:w="1350" w:type="dxa"/>
            <w:vAlign w:val="center"/>
          </w:tcPr>
          <w:p>
            <w:pPr>
              <w:spacing w:before="61"/>
              <w:jc w:val="center"/>
              <w:rPr>
                <w:color w:val="auto"/>
                <w:sz w:val="18"/>
                <w:szCs w:val="18"/>
                <w:vertAlign w:val="baseline"/>
              </w:rPr>
            </w:pPr>
            <w:r>
              <w:rPr>
                <w:color w:val="auto"/>
                <w:sz w:val="18"/>
                <w:szCs w:val="18"/>
              </w:rPr>
              <w:t>总体实施方案</w:t>
            </w:r>
            <w:r>
              <w:rPr>
                <w:rFonts w:hint="eastAsia"/>
                <w:color w:val="auto"/>
                <w:sz w:val="18"/>
                <w:szCs w:val="18"/>
                <w:lang w:eastAsia="zh-CN"/>
              </w:rPr>
              <w:t>（</w:t>
            </w:r>
            <w:r>
              <w:rPr>
                <w:rFonts w:hint="eastAsia"/>
                <w:color w:val="auto"/>
                <w:sz w:val="18"/>
                <w:szCs w:val="18"/>
                <w:lang w:val="en-US" w:eastAsia="zh-CN"/>
              </w:rPr>
              <w:t>5分</w:t>
            </w:r>
            <w:r>
              <w:rPr>
                <w:rFonts w:hint="eastAsia"/>
                <w:color w:val="auto"/>
                <w:sz w:val="18"/>
                <w:szCs w:val="18"/>
                <w:lang w:eastAsia="zh-CN"/>
              </w:rPr>
              <w:t>）</w:t>
            </w:r>
          </w:p>
        </w:tc>
        <w:tc>
          <w:tcPr>
            <w:tcW w:w="6450" w:type="dxa"/>
          </w:tcPr>
          <w:p>
            <w:pPr>
              <w:pStyle w:val="45"/>
              <w:spacing w:line="236" w:lineRule="exact"/>
              <w:jc w:val="both"/>
              <w:rPr>
                <w:color w:val="auto"/>
                <w:sz w:val="18"/>
                <w:szCs w:val="18"/>
              </w:rPr>
            </w:pPr>
            <w:r>
              <w:rPr>
                <w:color w:val="auto"/>
                <w:sz w:val="18"/>
                <w:szCs w:val="18"/>
              </w:rPr>
              <w:t>1、项目质量、工期、造价等符合招标要求的计</w:t>
            </w:r>
            <w:r>
              <w:rPr>
                <w:rFonts w:hint="eastAsia"/>
                <w:color w:val="auto"/>
                <w:sz w:val="18"/>
                <w:szCs w:val="18"/>
                <w:lang w:val="en-US" w:eastAsia="zh-CN"/>
              </w:rPr>
              <w:t>2</w:t>
            </w:r>
            <w:r>
              <w:rPr>
                <w:color w:val="auto"/>
                <w:sz w:val="18"/>
                <w:szCs w:val="18"/>
              </w:rPr>
              <w:t xml:space="preserve">分 </w:t>
            </w:r>
          </w:p>
          <w:p>
            <w:pPr>
              <w:spacing w:before="61"/>
              <w:jc w:val="both"/>
              <w:rPr>
                <w:color w:val="auto"/>
                <w:sz w:val="18"/>
                <w:szCs w:val="18"/>
                <w:vertAlign w:val="baseline"/>
              </w:rPr>
            </w:pPr>
            <w:r>
              <w:rPr>
                <w:color w:val="auto"/>
                <w:sz w:val="18"/>
                <w:szCs w:val="18"/>
              </w:rPr>
              <w:t>2、根据投标人项目分包和采购计划的合法性、合理性、可行性评价，分三档评价，一档的计</w:t>
            </w:r>
            <w:r>
              <w:rPr>
                <w:rFonts w:hint="eastAsia"/>
                <w:color w:val="auto"/>
                <w:sz w:val="18"/>
                <w:szCs w:val="18"/>
                <w:lang w:val="en-US" w:eastAsia="zh-CN"/>
              </w:rPr>
              <w:t>3</w:t>
            </w:r>
            <w:r>
              <w:rPr>
                <w:color w:val="auto"/>
                <w:sz w:val="18"/>
                <w:szCs w:val="18"/>
              </w:rPr>
              <w:t xml:space="preserve">分，二档的计2分，三档的计0-1分。 </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before="61"/>
              <w:jc w:val="center"/>
              <w:rPr>
                <w:rFonts w:hint="default"/>
                <w:color w:val="auto"/>
                <w:sz w:val="18"/>
                <w:szCs w:val="18"/>
                <w:vertAlign w:val="baseline"/>
                <w:lang w:val="en-US" w:eastAsia="zh-CN"/>
              </w:rPr>
            </w:pPr>
            <w:r>
              <w:rPr>
                <w:rFonts w:hint="eastAsia"/>
                <w:color w:val="auto"/>
                <w:sz w:val="18"/>
                <w:szCs w:val="18"/>
                <w:vertAlign w:val="baseline"/>
                <w:lang w:val="en-US" w:eastAsia="zh-CN"/>
              </w:rPr>
              <w:t>7</w:t>
            </w:r>
          </w:p>
        </w:tc>
        <w:tc>
          <w:tcPr>
            <w:tcW w:w="1350" w:type="dxa"/>
            <w:vAlign w:val="center"/>
          </w:tcPr>
          <w:p>
            <w:pPr>
              <w:spacing w:before="61"/>
              <w:jc w:val="center"/>
              <w:rPr>
                <w:color w:val="auto"/>
                <w:sz w:val="18"/>
                <w:szCs w:val="18"/>
              </w:rPr>
            </w:pPr>
            <w:r>
              <w:rPr>
                <w:color w:val="auto"/>
                <w:sz w:val="18"/>
                <w:szCs w:val="18"/>
              </w:rPr>
              <w:t>施工方案</w:t>
            </w:r>
          </w:p>
          <w:p>
            <w:pPr>
              <w:pStyle w:val="32"/>
              <w:ind w:left="0" w:leftChars="0" w:firstLine="0" w:firstLineChars="0"/>
              <w:jc w:val="center"/>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5分</w:t>
            </w:r>
            <w:r>
              <w:rPr>
                <w:rFonts w:hint="eastAsia"/>
                <w:color w:val="auto"/>
                <w:sz w:val="18"/>
                <w:szCs w:val="18"/>
                <w:lang w:eastAsia="zh-CN"/>
              </w:rPr>
              <w:t>）</w:t>
            </w:r>
          </w:p>
        </w:tc>
        <w:tc>
          <w:tcPr>
            <w:tcW w:w="6450" w:type="dxa"/>
          </w:tcPr>
          <w:p>
            <w:pPr>
              <w:pStyle w:val="45"/>
              <w:spacing w:before="5" w:line="213" w:lineRule="auto"/>
              <w:ind w:right="112"/>
              <w:jc w:val="both"/>
              <w:rPr>
                <w:b/>
                <w:color w:val="auto"/>
                <w:sz w:val="18"/>
                <w:szCs w:val="18"/>
              </w:rPr>
            </w:pPr>
            <w:r>
              <w:rPr>
                <w:b/>
                <w:color w:val="auto"/>
                <w:sz w:val="18"/>
                <w:szCs w:val="18"/>
              </w:rPr>
              <w:t>施工方案与技术措施</w:t>
            </w:r>
            <w:r>
              <w:rPr>
                <w:color w:val="auto"/>
                <w:spacing w:val="-4"/>
                <w:sz w:val="18"/>
                <w:szCs w:val="18"/>
              </w:rPr>
              <w:t>：主要评审对项目概况表述是否清晰，完</w:t>
            </w:r>
            <w:r>
              <w:rPr>
                <w:color w:val="auto"/>
                <w:spacing w:val="-3"/>
                <w:sz w:val="18"/>
                <w:szCs w:val="18"/>
              </w:rPr>
              <w:t>整；部署及措施是否先进、可靠；对项目主要及关键方案是否有深入的表述，对重点、难点分析是否透彻，解决方案是否切实可行； 施工平面布置是否有针对性，合理，是否符合安全、文明生产要 求。市政基础设施项目，交通组织规划是否合理，可行，交通组织措施是否得力，分三档评价，一档的计</w:t>
            </w:r>
            <w:r>
              <w:rPr>
                <w:rFonts w:hint="eastAsia"/>
                <w:color w:val="auto"/>
                <w:sz w:val="18"/>
                <w:szCs w:val="18"/>
                <w:lang w:val="en-US" w:eastAsia="zh-CN"/>
              </w:rPr>
              <w:t>5</w:t>
            </w:r>
            <w:r>
              <w:rPr>
                <w:color w:val="auto"/>
                <w:spacing w:val="-3"/>
                <w:sz w:val="18"/>
                <w:szCs w:val="18"/>
              </w:rPr>
              <w:t>分，二档的计</w:t>
            </w:r>
            <w:r>
              <w:rPr>
                <w:rFonts w:hint="eastAsia"/>
                <w:color w:val="auto"/>
                <w:spacing w:val="-3"/>
                <w:sz w:val="18"/>
                <w:szCs w:val="18"/>
                <w:lang w:val="en-US" w:eastAsia="zh-CN"/>
              </w:rPr>
              <w:t>3</w:t>
            </w:r>
            <w:r>
              <w:rPr>
                <w:color w:val="auto"/>
                <w:spacing w:val="-2"/>
                <w:sz w:val="18"/>
                <w:szCs w:val="18"/>
              </w:rPr>
              <w:t>分，三</w:t>
            </w:r>
            <w:r>
              <w:rPr>
                <w:color w:val="auto"/>
                <w:sz w:val="18"/>
                <w:szCs w:val="18"/>
              </w:rPr>
              <w:t>档的计1-</w:t>
            </w:r>
            <w:r>
              <w:rPr>
                <w:rFonts w:hint="eastAsia"/>
                <w:color w:val="auto"/>
                <w:sz w:val="18"/>
                <w:szCs w:val="18"/>
                <w:lang w:val="en-US" w:eastAsia="zh-CN"/>
              </w:rPr>
              <w:t>2</w:t>
            </w:r>
            <w:r>
              <w:rPr>
                <w:color w:val="auto"/>
                <w:sz w:val="18"/>
                <w:szCs w:val="18"/>
              </w:rPr>
              <w:t xml:space="preserve">分。 </w:t>
            </w:r>
          </w:p>
        </w:tc>
        <w:tc>
          <w:tcPr>
            <w:tcW w:w="791" w:type="dxa"/>
          </w:tcPr>
          <w:p>
            <w:pPr>
              <w:spacing w:before="61"/>
              <w:jc w:val="both"/>
              <w:rPr>
                <w:rFonts w:hint="default"/>
                <w:color w:val="auto"/>
                <w:sz w:val="18"/>
                <w:szCs w:val="18"/>
                <w:vertAlign w:val="baseline"/>
                <w:lang w:val="en-US" w:eastAsia="zh-CN"/>
              </w:rPr>
            </w:pPr>
            <w:r>
              <w:rPr>
                <w:rFonts w:hint="eastAsia"/>
                <w:color w:val="auto"/>
                <w:sz w:val="18"/>
                <w:szCs w:val="18"/>
                <w:vertAlign w:val="baseline"/>
                <w:lang w:val="en-US" w:eastAsia="zh-CN"/>
              </w:rPr>
              <w:t>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before="61"/>
              <w:jc w:val="center"/>
              <w:rPr>
                <w:rFonts w:hint="default" w:eastAsia="宋体"/>
                <w:color w:val="auto"/>
                <w:sz w:val="18"/>
                <w:szCs w:val="18"/>
                <w:vertAlign w:val="baseline"/>
                <w:lang w:val="en-US" w:eastAsia="zh-CN"/>
              </w:rPr>
            </w:pPr>
            <w:r>
              <w:rPr>
                <w:rFonts w:hint="eastAsia"/>
                <w:color w:val="auto"/>
                <w:sz w:val="18"/>
                <w:szCs w:val="18"/>
                <w:vertAlign w:val="baseline"/>
                <w:lang w:val="en-US" w:eastAsia="zh-CN"/>
              </w:rPr>
              <w:t>8</w:t>
            </w:r>
          </w:p>
        </w:tc>
        <w:tc>
          <w:tcPr>
            <w:tcW w:w="1350" w:type="dxa"/>
            <w:vAlign w:val="center"/>
          </w:tcPr>
          <w:p>
            <w:pPr>
              <w:pStyle w:val="32"/>
              <w:ind w:left="0" w:leftChars="0" w:firstLine="0" w:firstLineChars="0"/>
              <w:jc w:val="center"/>
              <w:rPr>
                <w:rFonts w:hint="eastAsia" w:eastAsia="宋体"/>
                <w:color w:val="auto"/>
                <w:sz w:val="18"/>
                <w:szCs w:val="18"/>
                <w:lang w:eastAsia="zh-CN"/>
              </w:rPr>
            </w:pPr>
            <w:r>
              <w:rPr>
                <w:rFonts w:hint="eastAsia"/>
                <w:color w:val="auto"/>
                <w:sz w:val="18"/>
                <w:szCs w:val="18"/>
                <w:lang w:eastAsia="zh-CN"/>
              </w:rPr>
              <w:t>质量、安全、环境措施（</w:t>
            </w:r>
            <w:r>
              <w:rPr>
                <w:rFonts w:hint="eastAsia"/>
                <w:color w:val="auto"/>
                <w:sz w:val="18"/>
                <w:szCs w:val="18"/>
                <w:lang w:val="en-US" w:eastAsia="zh-CN"/>
              </w:rPr>
              <w:t>5分</w:t>
            </w:r>
            <w:r>
              <w:rPr>
                <w:rFonts w:hint="eastAsia"/>
                <w:color w:val="auto"/>
                <w:sz w:val="18"/>
                <w:szCs w:val="18"/>
                <w:lang w:eastAsia="zh-CN"/>
              </w:rPr>
              <w:t>）</w:t>
            </w:r>
          </w:p>
        </w:tc>
        <w:tc>
          <w:tcPr>
            <w:tcW w:w="6450" w:type="dxa"/>
          </w:tcPr>
          <w:p>
            <w:pPr>
              <w:pStyle w:val="45"/>
              <w:spacing w:before="5" w:line="213" w:lineRule="auto"/>
              <w:ind w:right="119"/>
              <w:jc w:val="both"/>
              <w:rPr>
                <w:color w:val="auto"/>
                <w:sz w:val="18"/>
                <w:szCs w:val="18"/>
                <w:vertAlign w:val="baseline"/>
              </w:rPr>
            </w:pPr>
            <w:r>
              <w:rPr>
                <w:b/>
                <w:color w:val="auto"/>
                <w:sz w:val="18"/>
                <w:szCs w:val="18"/>
              </w:rPr>
              <w:t>质量管理体系与措施 、安全管理体系与措施、环境保护管理体系与措施</w:t>
            </w:r>
            <w:r>
              <w:rPr>
                <w:color w:val="auto"/>
                <w:sz w:val="18"/>
                <w:szCs w:val="18"/>
              </w:rPr>
              <w:t>：主要评审施工目标是否明确，是否优于招标文件的要求：管理机构是否健全，职责分工是否明确，管理制度是否齐全， 实施与监控措施是否全面、有效，分三档评价，一档的计</w:t>
            </w:r>
            <w:r>
              <w:rPr>
                <w:rFonts w:hint="eastAsia"/>
                <w:color w:val="auto"/>
                <w:sz w:val="18"/>
                <w:szCs w:val="18"/>
                <w:lang w:val="en-US" w:eastAsia="zh-CN"/>
              </w:rPr>
              <w:t>5</w:t>
            </w:r>
            <w:r>
              <w:rPr>
                <w:color w:val="auto"/>
                <w:sz w:val="18"/>
                <w:szCs w:val="18"/>
              </w:rPr>
              <w:t>分，二档的计</w:t>
            </w:r>
            <w:r>
              <w:rPr>
                <w:rFonts w:hint="eastAsia"/>
                <w:color w:val="auto"/>
                <w:sz w:val="18"/>
                <w:szCs w:val="18"/>
                <w:lang w:val="en-US" w:eastAsia="zh-CN"/>
              </w:rPr>
              <w:t>3</w:t>
            </w:r>
            <w:r>
              <w:rPr>
                <w:color w:val="auto"/>
                <w:sz w:val="18"/>
                <w:szCs w:val="18"/>
              </w:rPr>
              <w:t>分，三档的计1-</w:t>
            </w:r>
            <w:r>
              <w:rPr>
                <w:rFonts w:hint="eastAsia"/>
                <w:color w:val="auto"/>
                <w:sz w:val="18"/>
                <w:szCs w:val="18"/>
                <w:lang w:val="en-US" w:eastAsia="zh-CN"/>
              </w:rPr>
              <w:t>2</w:t>
            </w:r>
            <w:r>
              <w:rPr>
                <w:color w:val="auto"/>
                <w:sz w:val="18"/>
                <w:szCs w:val="18"/>
              </w:rPr>
              <w:t>分。</w:t>
            </w:r>
            <w:r>
              <w:rPr>
                <w:b/>
                <w:color w:val="auto"/>
                <w:w w:val="99"/>
                <w:sz w:val="18"/>
                <w:szCs w:val="18"/>
              </w:rPr>
              <w:t xml:space="preserve"> </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Align w:val="center"/>
          </w:tcPr>
          <w:p>
            <w:pPr>
              <w:spacing w:before="61"/>
              <w:jc w:val="center"/>
              <w:rPr>
                <w:rFonts w:hint="default" w:eastAsia="宋体"/>
                <w:color w:val="auto"/>
                <w:sz w:val="18"/>
                <w:szCs w:val="18"/>
                <w:vertAlign w:val="baseline"/>
                <w:lang w:val="en-US" w:eastAsia="zh-CN"/>
              </w:rPr>
            </w:pPr>
            <w:r>
              <w:rPr>
                <w:rFonts w:hint="eastAsia"/>
                <w:color w:val="auto"/>
                <w:sz w:val="18"/>
                <w:szCs w:val="18"/>
                <w:vertAlign w:val="baseline"/>
                <w:lang w:val="en-US" w:eastAsia="zh-CN"/>
              </w:rPr>
              <w:t>9</w:t>
            </w:r>
          </w:p>
        </w:tc>
        <w:tc>
          <w:tcPr>
            <w:tcW w:w="1350" w:type="dxa"/>
            <w:vAlign w:val="center"/>
          </w:tcPr>
          <w:p>
            <w:pPr>
              <w:spacing w:before="61"/>
              <w:jc w:val="center"/>
              <w:rPr>
                <w:rFonts w:hint="eastAsia"/>
                <w:color w:val="auto"/>
                <w:sz w:val="18"/>
                <w:szCs w:val="18"/>
                <w:lang w:eastAsia="zh-CN"/>
              </w:rPr>
            </w:pPr>
            <w:r>
              <w:rPr>
                <w:rFonts w:hint="eastAsia"/>
                <w:color w:val="auto"/>
                <w:sz w:val="18"/>
                <w:szCs w:val="18"/>
                <w:lang w:eastAsia="zh-CN"/>
              </w:rPr>
              <w:t>进度、资源配置措施</w:t>
            </w:r>
          </w:p>
          <w:p>
            <w:pPr>
              <w:pStyle w:val="32"/>
              <w:ind w:left="0" w:leftChars="0" w:firstLine="0" w:firstLineChars="0"/>
              <w:jc w:val="center"/>
              <w:rPr>
                <w:rFonts w:hint="default"/>
                <w:color w:val="auto"/>
                <w:sz w:val="18"/>
                <w:szCs w:val="18"/>
                <w:lang w:val="en-US" w:eastAsia="zh-CN"/>
              </w:rPr>
            </w:pPr>
            <w:r>
              <w:rPr>
                <w:rFonts w:hint="eastAsia"/>
                <w:color w:val="auto"/>
                <w:sz w:val="18"/>
                <w:szCs w:val="18"/>
                <w:lang w:val="en-US" w:eastAsia="zh-CN"/>
              </w:rPr>
              <w:t>（5分）</w:t>
            </w:r>
          </w:p>
        </w:tc>
        <w:tc>
          <w:tcPr>
            <w:tcW w:w="6450" w:type="dxa"/>
          </w:tcPr>
          <w:p>
            <w:pPr>
              <w:pStyle w:val="45"/>
              <w:spacing w:before="5" w:line="213" w:lineRule="auto"/>
              <w:ind w:right="112"/>
              <w:jc w:val="both"/>
              <w:rPr>
                <w:rFonts w:hint="eastAsia" w:eastAsia="宋体"/>
                <w:color w:val="auto"/>
                <w:sz w:val="18"/>
                <w:szCs w:val="18"/>
                <w:vertAlign w:val="baseline"/>
                <w:lang w:eastAsia="zh-CN"/>
              </w:rPr>
            </w:pPr>
            <w:r>
              <w:rPr>
                <w:b/>
                <w:color w:val="auto"/>
                <w:spacing w:val="-2"/>
                <w:sz w:val="18"/>
                <w:szCs w:val="18"/>
              </w:rPr>
              <w:t>工程进度计划与保证措施</w:t>
            </w:r>
            <w:r>
              <w:rPr>
                <w:rFonts w:hint="eastAsia"/>
                <w:b/>
                <w:color w:val="auto"/>
                <w:spacing w:val="-2"/>
                <w:sz w:val="18"/>
                <w:szCs w:val="18"/>
                <w:lang w:eastAsia="zh-CN"/>
              </w:rPr>
              <w:t>、</w:t>
            </w:r>
            <w:r>
              <w:rPr>
                <w:b/>
                <w:color w:val="auto"/>
                <w:sz w:val="18"/>
                <w:szCs w:val="18"/>
              </w:rPr>
              <w:t>资源配备计划</w:t>
            </w:r>
            <w:r>
              <w:rPr>
                <w:color w:val="auto"/>
                <w:spacing w:val="-4"/>
                <w:sz w:val="18"/>
                <w:szCs w:val="18"/>
              </w:rPr>
              <w:t>：主要评审施工总工期及节点工期是</w:t>
            </w:r>
            <w:r>
              <w:rPr>
                <w:color w:val="auto"/>
                <w:spacing w:val="-3"/>
                <w:sz w:val="18"/>
                <w:szCs w:val="18"/>
              </w:rPr>
              <w:t>否满足招标文件要求；施工进度计划内容是否全面，线路是否清 晰、准确、完整，计划编号是否合理、可行；措施是否有力、合理、可行，</w:t>
            </w:r>
            <w:r>
              <w:rPr>
                <w:color w:val="auto"/>
                <w:spacing w:val="-4"/>
                <w:sz w:val="18"/>
                <w:szCs w:val="18"/>
              </w:rPr>
              <w:t>资源投入计划是否与施工部署、施工</w:t>
            </w:r>
            <w:r>
              <w:rPr>
                <w:color w:val="auto"/>
                <w:spacing w:val="-3"/>
                <w:sz w:val="18"/>
                <w:szCs w:val="18"/>
              </w:rPr>
              <w:t>方法及进度计划呼应，调配投入计划是否合理、准确，分三档评价，一档的计</w:t>
            </w:r>
            <w:r>
              <w:rPr>
                <w:rFonts w:hint="eastAsia"/>
                <w:color w:val="auto"/>
                <w:spacing w:val="-3"/>
                <w:sz w:val="18"/>
                <w:szCs w:val="18"/>
                <w:lang w:val="en-US" w:eastAsia="zh-CN"/>
              </w:rPr>
              <w:t>5</w:t>
            </w:r>
            <w:r>
              <w:rPr>
                <w:color w:val="auto"/>
                <w:spacing w:val="-3"/>
                <w:sz w:val="18"/>
                <w:szCs w:val="18"/>
              </w:rPr>
              <w:t>分，二档的计3</w:t>
            </w:r>
            <w:r>
              <w:rPr>
                <w:color w:val="auto"/>
                <w:spacing w:val="-2"/>
                <w:sz w:val="18"/>
                <w:szCs w:val="18"/>
              </w:rPr>
              <w:t>分，三档的计</w:t>
            </w:r>
            <w:r>
              <w:rPr>
                <w:color w:val="auto"/>
                <w:sz w:val="18"/>
                <w:szCs w:val="18"/>
              </w:rPr>
              <w:t xml:space="preserve">1-2分。 </w:t>
            </w:r>
          </w:p>
        </w:tc>
        <w:tc>
          <w:tcPr>
            <w:tcW w:w="791" w:type="dxa"/>
          </w:tcPr>
          <w:p>
            <w:pPr>
              <w:spacing w:before="61"/>
              <w:jc w:val="both"/>
              <w:rPr>
                <w:rFonts w:hint="default" w:eastAsia="宋体"/>
                <w:color w:val="auto"/>
                <w:sz w:val="18"/>
                <w:szCs w:val="18"/>
                <w:vertAlign w:val="baseline"/>
                <w:lang w:val="en-US" w:eastAsia="zh-CN"/>
              </w:rPr>
            </w:pPr>
            <w:r>
              <w:rPr>
                <w:rFonts w:hint="eastAsia"/>
                <w:color w:val="auto"/>
                <w:sz w:val="18"/>
                <w:szCs w:val="18"/>
                <w:vertAlign w:val="baseline"/>
                <w:lang w:val="en-US" w:eastAsia="zh-CN"/>
              </w:rPr>
              <w:t>5</w:t>
            </w:r>
          </w:p>
        </w:tc>
        <w:tc>
          <w:tcPr>
            <w:tcW w:w="709" w:type="dxa"/>
          </w:tcPr>
          <w:p>
            <w:pPr>
              <w:spacing w:before="61"/>
              <w:jc w:val="both"/>
              <w:rPr>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before="61"/>
              <w:jc w:val="center"/>
              <w:rPr>
                <w:rFonts w:hint="default"/>
                <w:color w:val="auto"/>
                <w:sz w:val="18"/>
                <w:szCs w:val="18"/>
                <w:vertAlign w:val="baseline"/>
                <w:lang w:val="en-US" w:eastAsia="zh-CN"/>
              </w:rPr>
            </w:pPr>
            <w:r>
              <w:rPr>
                <w:rFonts w:hint="eastAsia"/>
                <w:color w:val="auto"/>
                <w:sz w:val="18"/>
                <w:szCs w:val="18"/>
                <w:vertAlign w:val="baseline"/>
                <w:lang w:val="en-US" w:eastAsia="zh-CN"/>
              </w:rPr>
              <w:t>10</w:t>
            </w:r>
          </w:p>
        </w:tc>
        <w:tc>
          <w:tcPr>
            <w:tcW w:w="7800" w:type="dxa"/>
            <w:gridSpan w:val="2"/>
          </w:tcPr>
          <w:p>
            <w:pPr>
              <w:pStyle w:val="45"/>
              <w:spacing w:before="5" w:line="213" w:lineRule="auto"/>
              <w:ind w:right="112"/>
              <w:jc w:val="both"/>
              <w:rPr>
                <w:rFonts w:hint="eastAsia" w:eastAsia="宋体"/>
                <w:b/>
                <w:color w:val="FF0000"/>
                <w:spacing w:val="-2"/>
                <w:sz w:val="18"/>
                <w:szCs w:val="18"/>
                <w:lang w:eastAsia="zh-CN"/>
              </w:rPr>
            </w:pPr>
            <w:r>
              <w:rPr>
                <w:rFonts w:hint="eastAsia"/>
                <w:b/>
                <w:color w:val="auto"/>
                <w:spacing w:val="-2"/>
                <w:sz w:val="18"/>
                <w:szCs w:val="18"/>
                <w:lang w:eastAsia="zh-CN"/>
              </w:rPr>
              <w:t>合计</w:t>
            </w:r>
          </w:p>
        </w:tc>
        <w:tc>
          <w:tcPr>
            <w:tcW w:w="791" w:type="dxa"/>
          </w:tcPr>
          <w:p>
            <w:pPr>
              <w:spacing w:before="61"/>
              <w:jc w:val="both"/>
              <w:rPr>
                <w:rFonts w:hint="default"/>
                <w:color w:val="auto"/>
                <w:sz w:val="18"/>
                <w:szCs w:val="18"/>
                <w:vertAlign w:val="baseline"/>
                <w:lang w:val="en-US" w:eastAsia="zh-CN"/>
              </w:rPr>
            </w:pPr>
            <w:r>
              <w:rPr>
                <w:rFonts w:hint="eastAsia"/>
                <w:color w:val="auto"/>
                <w:sz w:val="18"/>
                <w:szCs w:val="18"/>
                <w:vertAlign w:val="baseline"/>
                <w:lang w:val="en-US" w:eastAsia="zh-CN"/>
              </w:rPr>
              <w:t>100</w:t>
            </w:r>
          </w:p>
        </w:tc>
        <w:tc>
          <w:tcPr>
            <w:tcW w:w="709" w:type="dxa"/>
          </w:tcPr>
          <w:p>
            <w:pPr>
              <w:spacing w:before="61"/>
              <w:jc w:val="both"/>
              <w:rPr>
                <w:color w:val="auto"/>
                <w:sz w:val="18"/>
                <w:szCs w:val="18"/>
                <w:vertAlign w:val="baseline"/>
              </w:rPr>
            </w:pPr>
          </w:p>
        </w:tc>
      </w:tr>
    </w:tbl>
    <w:p>
      <w:pPr>
        <w:spacing w:before="12"/>
        <w:ind w:left="353"/>
        <w:rPr>
          <w:color w:val="auto"/>
          <w:sz w:val="18"/>
        </w:rPr>
      </w:pPr>
      <w:r>
        <w:rPr>
          <w:color w:val="auto"/>
          <w:sz w:val="18"/>
        </w:rPr>
        <w:t xml:space="preserve">注：1、技术标中，应当具备的项目缺项的，该项目计零分 。 </w:t>
      </w:r>
    </w:p>
    <w:p>
      <w:pPr>
        <w:spacing w:before="11" w:line="249" w:lineRule="auto"/>
        <w:ind w:left="353" w:right="112" w:firstLine="360"/>
        <w:rPr>
          <w:color w:val="auto"/>
          <w:sz w:val="18"/>
        </w:rPr>
      </w:pPr>
      <w:r>
        <w:rPr>
          <w:color w:val="auto"/>
          <w:sz w:val="18"/>
        </w:rPr>
        <w:t xml:space="preserve">2、有下列情况之一的，该评标委员会成员的所有单项评审计分为无效分：（1）单项评审计分高出规定最高分或低于规定最低分的；（2）同一项目有2个或2个以上评审计分的； </w:t>
      </w:r>
    </w:p>
    <w:p>
      <w:pPr>
        <w:pStyle w:val="44"/>
        <w:numPr>
          <w:ilvl w:val="0"/>
          <w:numId w:val="21"/>
        </w:numPr>
        <w:tabs>
          <w:tab w:val="left" w:pos="903"/>
        </w:tabs>
        <w:spacing w:before="1"/>
        <w:ind w:left="902" w:hanging="183"/>
        <w:rPr>
          <w:color w:val="auto"/>
          <w:sz w:val="16"/>
        </w:rPr>
      </w:pPr>
      <w:r>
        <w:rPr>
          <w:color w:val="auto"/>
          <w:spacing w:val="-1"/>
          <w:sz w:val="18"/>
        </w:rPr>
        <w:t xml:space="preserve">由评标委员会独立评审计分。最终得分为评标委员会成员个人评审计分的算术平均值。 </w:t>
      </w:r>
    </w:p>
    <w:p>
      <w:pPr>
        <w:pStyle w:val="8"/>
        <w:rPr>
          <w:color w:val="auto"/>
          <w:sz w:val="20"/>
        </w:rPr>
      </w:pPr>
    </w:p>
    <w:p>
      <w:pPr>
        <w:pStyle w:val="8"/>
        <w:rPr>
          <w:color w:val="auto"/>
          <w:sz w:val="20"/>
        </w:rPr>
      </w:pPr>
    </w:p>
    <w:p>
      <w:pPr>
        <w:pStyle w:val="8"/>
        <w:spacing w:before="7"/>
        <w:rPr>
          <w:color w:val="auto"/>
          <w:sz w:val="14"/>
        </w:rPr>
      </w:pPr>
    </w:p>
    <w:p>
      <w:pPr>
        <w:tabs>
          <w:tab w:val="left" w:pos="4945"/>
        </w:tabs>
        <w:spacing w:before="77"/>
        <w:ind w:left="100"/>
        <w:rPr>
          <w:color w:val="auto"/>
          <w:sz w:val="18"/>
        </w:rPr>
      </w:pPr>
      <w:r>
        <w:rPr>
          <w:color w:val="auto"/>
          <w:sz w:val="18"/>
        </w:rPr>
        <w:t xml:space="preserve"> </w:t>
      </w:r>
      <w:r>
        <w:rPr>
          <w:color w:val="auto"/>
          <w:sz w:val="18"/>
        </w:rPr>
        <w:tab/>
      </w:r>
      <w:r>
        <w:rPr>
          <w:color w:val="auto"/>
          <w:sz w:val="18"/>
        </w:rPr>
        <w:t xml:space="preserve">- </w:t>
      </w:r>
      <w:r>
        <w:rPr>
          <w:rFonts w:hint="eastAsia"/>
          <w:color w:val="auto"/>
          <w:sz w:val="18"/>
          <w:lang w:val="en-US"/>
        </w:rPr>
        <w:t>38</w:t>
      </w:r>
      <w:r>
        <w:rPr>
          <w:color w:val="auto"/>
          <w:sz w:val="18"/>
        </w:rPr>
        <w:t>-</w:t>
      </w:r>
    </w:p>
    <w:p>
      <w:pPr>
        <w:rPr>
          <w:color w:val="auto"/>
          <w:sz w:val="18"/>
        </w:rPr>
        <w:sectPr>
          <w:headerReference r:id="rId19" w:type="default"/>
          <w:footerReference r:id="rId20" w:type="default"/>
          <w:pgSz w:w="11920" w:h="16850"/>
          <w:pgMar w:top="960" w:right="760" w:bottom="280" w:left="780" w:header="0" w:footer="0" w:gutter="0"/>
          <w:cols w:space="720" w:num="1"/>
        </w:sectPr>
      </w:pPr>
    </w:p>
    <w:p>
      <w:pPr>
        <w:spacing w:before="61"/>
        <w:ind w:left="640"/>
        <w:rPr>
          <w:b/>
          <w:color w:val="auto"/>
          <w:sz w:val="24"/>
        </w:rPr>
      </w:pPr>
      <w:r>
        <w:rPr>
          <w:color w:val="auto"/>
          <w:sz w:val="24"/>
        </w:rPr>
        <w:t>附表3-9：</w:t>
      </w:r>
      <w:r>
        <w:rPr>
          <w:b/>
          <w:color w:val="auto"/>
          <w:sz w:val="24"/>
        </w:rPr>
        <w:t>资信业绩评分表</w:t>
      </w:r>
    </w:p>
    <w:p>
      <w:pPr>
        <w:pStyle w:val="4"/>
        <w:spacing w:before="161" w:after="2"/>
        <w:ind w:left="3926" w:right="3926"/>
        <w:jc w:val="center"/>
        <w:rPr>
          <w:color w:val="auto"/>
        </w:rPr>
      </w:pPr>
      <w:r>
        <w:rPr>
          <w:color w:val="auto"/>
        </w:rPr>
        <w:t>资信业绩评分表</w:t>
      </w:r>
      <w:r>
        <w:rPr>
          <w:color w:val="auto"/>
          <w:w w:val="99"/>
        </w:rPr>
        <w:t xml:space="preserve"> </w:t>
      </w:r>
    </w:p>
    <w:tbl>
      <w:tblPr>
        <w:tblStyle w:val="16"/>
        <w:tblW w:w="9185"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851"/>
        <w:gridCol w:w="1330"/>
        <w:gridCol w:w="3825"/>
        <w:gridCol w:w="589"/>
        <w:gridCol w:w="8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725" w:type="dxa"/>
            <w:tcBorders>
              <w:bottom w:val="single" w:color="000000" w:sz="4" w:space="0"/>
              <w:right w:val="single" w:color="000000" w:sz="2" w:space="0"/>
            </w:tcBorders>
          </w:tcPr>
          <w:p>
            <w:pPr>
              <w:pStyle w:val="45"/>
              <w:spacing w:before="168"/>
              <w:ind w:left="174" w:right="50"/>
              <w:jc w:val="center"/>
              <w:rPr>
                <w:color w:val="auto"/>
                <w:sz w:val="21"/>
              </w:rPr>
            </w:pPr>
            <w:r>
              <w:rPr>
                <w:color w:val="auto"/>
                <w:sz w:val="21"/>
              </w:rPr>
              <w:t xml:space="preserve">序号 </w:t>
            </w:r>
          </w:p>
        </w:tc>
        <w:tc>
          <w:tcPr>
            <w:tcW w:w="1851" w:type="dxa"/>
            <w:tcBorders>
              <w:left w:val="single" w:color="000000" w:sz="2" w:space="0"/>
              <w:bottom w:val="single" w:color="000000" w:sz="2" w:space="0"/>
              <w:right w:val="single" w:color="000000" w:sz="2" w:space="0"/>
            </w:tcBorders>
          </w:tcPr>
          <w:p>
            <w:pPr>
              <w:pStyle w:val="45"/>
              <w:spacing w:before="168"/>
              <w:ind w:left="160" w:right="32"/>
              <w:jc w:val="center"/>
              <w:rPr>
                <w:color w:val="auto"/>
                <w:sz w:val="21"/>
              </w:rPr>
            </w:pPr>
            <w:r>
              <w:rPr>
                <w:color w:val="auto"/>
                <w:sz w:val="21"/>
              </w:rPr>
              <w:t xml:space="preserve">项目 </w:t>
            </w:r>
          </w:p>
        </w:tc>
        <w:tc>
          <w:tcPr>
            <w:tcW w:w="5744" w:type="dxa"/>
            <w:gridSpan w:val="3"/>
            <w:tcBorders>
              <w:left w:val="single" w:color="000000" w:sz="2" w:space="0"/>
              <w:bottom w:val="single" w:color="000000" w:sz="2" w:space="0"/>
              <w:right w:val="single" w:color="000000" w:sz="2" w:space="0"/>
            </w:tcBorders>
          </w:tcPr>
          <w:p>
            <w:pPr>
              <w:pStyle w:val="45"/>
              <w:spacing w:before="168"/>
              <w:ind w:left="2233" w:right="1891"/>
              <w:jc w:val="center"/>
              <w:rPr>
                <w:color w:val="auto"/>
                <w:sz w:val="21"/>
              </w:rPr>
            </w:pPr>
            <w:r>
              <w:rPr>
                <w:color w:val="auto"/>
                <w:sz w:val="21"/>
              </w:rPr>
              <w:t xml:space="preserve">评   审  标  准 </w:t>
            </w:r>
          </w:p>
        </w:tc>
        <w:tc>
          <w:tcPr>
            <w:tcW w:w="865" w:type="dxa"/>
            <w:tcBorders>
              <w:left w:val="single" w:color="000000" w:sz="2" w:space="0"/>
              <w:bottom w:val="single" w:color="000000" w:sz="2" w:space="0"/>
            </w:tcBorders>
          </w:tcPr>
          <w:p>
            <w:pPr>
              <w:pStyle w:val="45"/>
              <w:spacing w:before="71" w:line="213" w:lineRule="auto"/>
              <w:ind w:left="335" w:right="87" w:hanging="212"/>
              <w:rPr>
                <w:color w:val="auto"/>
                <w:sz w:val="21"/>
              </w:rPr>
            </w:pPr>
            <w:r>
              <w:rPr>
                <w:color w:val="auto"/>
                <w:sz w:val="21"/>
              </w:rPr>
              <w:t xml:space="preserve">评审计分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4" w:hRule="atLeast"/>
        </w:trPr>
        <w:tc>
          <w:tcPr>
            <w:tcW w:w="725" w:type="dxa"/>
            <w:tcBorders>
              <w:top w:val="single" w:color="000000" w:sz="4" w:space="0"/>
              <w:bottom w:val="single" w:color="000000" w:sz="4" w:space="0"/>
              <w:right w:val="single" w:color="000000" w:sz="4" w:space="0"/>
            </w:tcBorders>
          </w:tcPr>
          <w:p>
            <w:pPr>
              <w:pStyle w:val="45"/>
              <w:spacing w:before="5"/>
              <w:rPr>
                <w:b/>
                <w:color w:val="auto"/>
                <w:sz w:val="24"/>
              </w:rPr>
            </w:pPr>
          </w:p>
          <w:p>
            <w:pPr>
              <w:pStyle w:val="45"/>
              <w:ind w:left="339" w:right="215"/>
              <w:jc w:val="center"/>
              <w:rPr>
                <w:color w:val="auto"/>
                <w:sz w:val="21"/>
              </w:rPr>
            </w:pPr>
            <w:r>
              <w:rPr>
                <w:color w:val="auto"/>
                <w:sz w:val="21"/>
              </w:rPr>
              <w:t xml:space="preserve">1 </w:t>
            </w:r>
          </w:p>
        </w:tc>
        <w:tc>
          <w:tcPr>
            <w:tcW w:w="1851" w:type="dxa"/>
            <w:tcBorders>
              <w:top w:val="single" w:color="000000" w:sz="2" w:space="0"/>
              <w:left w:val="single" w:color="000000" w:sz="4" w:space="0"/>
              <w:bottom w:val="single" w:color="000000" w:sz="2" w:space="0"/>
              <w:right w:val="single" w:color="000000" w:sz="2" w:space="0"/>
            </w:tcBorders>
          </w:tcPr>
          <w:p>
            <w:pPr>
              <w:pStyle w:val="45"/>
              <w:spacing w:before="11"/>
              <w:rPr>
                <w:rFonts w:hint="eastAsia" w:ascii="宋体" w:hAnsi="宋体" w:eastAsia="宋体" w:cs="宋体"/>
                <w:color w:val="auto"/>
                <w:sz w:val="21"/>
                <w:szCs w:val="22"/>
                <w:lang w:val="zh-CN" w:eastAsia="zh-CN" w:bidi="zh-CN"/>
              </w:rPr>
            </w:pPr>
          </w:p>
          <w:p>
            <w:pPr>
              <w:pStyle w:val="45"/>
              <w:spacing w:line="213" w:lineRule="auto"/>
              <w:ind w:left="721" w:right="171" w:hanging="526"/>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 xml:space="preserve">投标人类似项目业绩 </w:t>
            </w:r>
          </w:p>
        </w:tc>
        <w:tc>
          <w:tcPr>
            <w:tcW w:w="5155" w:type="dxa"/>
            <w:gridSpan w:val="2"/>
            <w:tcBorders>
              <w:top w:val="single" w:color="000000" w:sz="2" w:space="0"/>
              <w:left w:val="single" w:color="000000" w:sz="2" w:space="0"/>
              <w:bottom w:val="single" w:color="000000" w:sz="2" w:space="0"/>
              <w:right w:val="single" w:color="000000" w:sz="4" w:space="0"/>
            </w:tcBorders>
          </w:tcPr>
          <w:p>
            <w:pPr>
              <w:keepNext w:val="0"/>
              <w:keepLines w:val="0"/>
              <w:widowControl/>
              <w:suppressLineNumbers w:val="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en-US" w:eastAsia="zh-CN" w:bidi="zh-CN"/>
              </w:rPr>
              <w:t xml:space="preserve">投标人（或联合体任何一方）提供施工或设计业绩： </w:t>
            </w:r>
          </w:p>
          <w:p>
            <w:pPr>
              <w:keepNext w:val="0"/>
              <w:keepLines w:val="0"/>
              <w:widowControl/>
              <w:suppressLineNumbers w:val="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en-US" w:eastAsia="zh-CN" w:bidi="zh-CN"/>
              </w:rPr>
              <w:t xml:space="preserve">每项业绩加15 分，最多合计加二项业绩，类似项目业绩 </w:t>
            </w:r>
          </w:p>
          <w:p>
            <w:pPr>
              <w:keepNext w:val="0"/>
              <w:keepLines w:val="0"/>
              <w:widowControl/>
              <w:suppressLineNumbers w:val="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en-US" w:eastAsia="zh-CN" w:bidi="zh-CN"/>
              </w:rPr>
              <w:t>最多加 30分。</w:t>
            </w:r>
          </w:p>
        </w:tc>
        <w:tc>
          <w:tcPr>
            <w:tcW w:w="589" w:type="dxa"/>
            <w:tcBorders>
              <w:top w:val="single" w:color="000000" w:sz="2" w:space="0"/>
              <w:left w:val="single" w:color="000000" w:sz="4" w:space="0"/>
              <w:bottom w:val="single" w:color="000000" w:sz="2" w:space="0"/>
              <w:right w:val="single" w:color="000000" w:sz="2" w:space="0"/>
            </w:tcBorders>
          </w:tcPr>
          <w:p>
            <w:pPr>
              <w:pStyle w:val="45"/>
              <w:spacing w:before="5"/>
              <w:rPr>
                <w:b/>
                <w:color w:val="auto"/>
                <w:sz w:val="24"/>
              </w:rPr>
            </w:pPr>
          </w:p>
          <w:p>
            <w:pPr>
              <w:pStyle w:val="45"/>
              <w:ind w:left="195"/>
              <w:rPr>
                <w:color w:val="auto"/>
                <w:sz w:val="21"/>
              </w:rPr>
            </w:pPr>
            <w:r>
              <w:rPr>
                <w:rFonts w:hint="eastAsia"/>
                <w:color w:val="auto"/>
                <w:sz w:val="21"/>
                <w:lang w:val="en-US" w:eastAsia="zh-CN"/>
              </w:rPr>
              <w:t>30</w:t>
            </w:r>
            <w:r>
              <w:rPr>
                <w:color w:val="auto"/>
                <w:sz w:val="21"/>
              </w:rPr>
              <w:t xml:space="preserve"> </w:t>
            </w:r>
          </w:p>
        </w:tc>
        <w:tc>
          <w:tcPr>
            <w:tcW w:w="865" w:type="dxa"/>
            <w:tcBorders>
              <w:top w:val="single" w:color="000000" w:sz="2" w:space="0"/>
              <w:left w:val="single" w:color="000000" w:sz="2" w:space="0"/>
              <w:bottom w:val="single" w:color="000000" w:sz="2" w:space="0"/>
            </w:tcBorders>
          </w:tcPr>
          <w:p>
            <w:pPr>
              <w:pStyle w:val="45"/>
              <w:spacing w:before="5"/>
              <w:rPr>
                <w:b/>
                <w:color w:val="auto"/>
                <w:sz w:val="24"/>
              </w:rPr>
            </w:pPr>
          </w:p>
          <w:p>
            <w:pPr>
              <w:pStyle w:val="45"/>
              <w:ind w:right="298"/>
              <w:jc w:val="right"/>
              <w:rPr>
                <w:color w:val="auto"/>
                <w:sz w:val="21"/>
              </w:rPr>
            </w:pPr>
            <w:r>
              <w:rPr>
                <w:color w:val="auto"/>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7" w:hRule="atLeast"/>
        </w:trPr>
        <w:tc>
          <w:tcPr>
            <w:tcW w:w="725" w:type="dxa"/>
            <w:tcBorders>
              <w:top w:val="single" w:color="000000" w:sz="4" w:space="0"/>
              <w:bottom w:val="single" w:color="000000" w:sz="4" w:space="0"/>
              <w:right w:val="single" w:color="000000" w:sz="4" w:space="0"/>
            </w:tcBorders>
          </w:tcPr>
          <w:p>
            <w:pPr>
              <w:pStyle w:val="45"/>
              <w:rPr>
                <w:b/>
                <w:color w:val="auto"/>
                <w:sz w:val="20"/>
              </w:rPr>
            </w:pPr>
          </w:p>
          <w:p>
            <w:pPr>
              <w:pStyle w:val="45"/>
              <w:rPr>
                <w:b/>
                <w:color w:val="auto"/>
                <w:sz w:val="20"/>
              </w:rPr>
            </w:pPr>
          </w:p>
          <w:p>
            <w:pPr>
              <w:pStyle w:val="45"/>
              <w:spacing w:before="4"/>
              <w:rPr>
                <w:b/>
                <w:color w:val="auto"/>
                <w:sz w:val="24"/>
              </w:rPr>
            </w:pPr>
          </w:p>
          <w:p>
            <w:pPr>
              <w:pStyle w:val="45"/>
              <w:ind w:left="339" w:right="215"/>
              <w:jc w:val="center"/>
              <w:rPr>
                <w:color w:val="auto"/>
                <w:sz w:val="21"/>
              </w:rPr>
            </w:pPr>
            <w:r>
              <w:rPr>
                <w:color w:val="auto"/>
                <w:sz w:val="21"/>
              </w:rPr>
              <w:t xml:space="preserve">2 </w:t>
            </w:r>
          </w:p>
        </w:tc>
        <w:tc>
          <w:tcPr>
            <w:tcW w:w="1851" w:type="dxa"/>
            <w:tcBorders>
              <w:top w:val="single" w:color="000000" w:sz="2" w:space="0"/>
              <w:left w:val="single" w:color="000000" w:sz="4" w:space="0"/>
              <w:bottom w:val="single" w:color="000000" w:sz="4" w:space="0"/>
              <w:right w:val="single" w:color="000000" w:sz="2" w:space="0"/>
            </w:tcBorders>
          </w:tcPr>
          <w:p>
            <w:pPr>
              <w:pStyle w:val="45"/>
              <w:rPr>
                <w:b/>
                <w:color w:val="auto"/>
                <w:sz w:val="20"/>
              </w:rPr>
            </w:pPr>
          </w:p>
          <w:p>
            <w:pPr>
              <w:pStyle w:val="45"/>
              <w:rPr>
                <w:b/>
                <w:color w:val="auto"/>
                <w:sz w:val="20"/>
              </w:rPr>
            </w:pPr>
          </w:p>
          <w:p>
            <w:pPr>
              <w:pStyle w:val="45"/>
              <w:spacing w:before="4"/>
              <w:rPr>
                <w:b/>
                <w:color w:val="auto"/>
                <w:sz w:val="24"/>
              </w:rPr>
            </w:pPr>
          </w:p>
          <w:p>
            <w:pPr>
              <w:pStyle w:val="45"/>
              <w:ind w:left="181" w:right="55"/>
              <w:jc w:val="center"/>
              <w:rPr>
                <w:color w:val="auto"/>
                <w:sz w:val="21"/>
              </w:rPr>
            </w:pPr>
            <w:r>
              <w:rPr>
                <w:rFonts w:hint="eastAsia"/>
                <w:color w:val="auto"/>
                <w:sz w:val="21"/>
                <w:lang w:eastAsia="zh-CN"/>
              </w:rPr>
              <w:t>获奖</w:t>
            </w:r>
            <w:r>
              <w:rPr>
                <w:color w:val="auto"/>
                <w:sz w:val="21"/>
              </w:rPr>
              <w:t xml:space="preserve">业绩 </w:t>
            </w:r>
          </w:p>
        </w:tc>
        <w:tc>
          <w:tcPr>
            <w:tcW w:w="5155" w:type="dxa"/>
            <w:gridSpan w:val="2"/>
            <w:tcBorders>
              <w:top w:val="single" w:color="000000" w:sz="2" w:space="0"/>
              <w:left w:val="single" w:color="000000" w:sz="2" w:space="0"/>
              <w:bottom w:val="single" w:color="000000" w:sz="4" w:space="0"/>
              <w:right w:val="single" w:color="000000" w:sz="4" w:space="0"/>
            </w:tcBorders>
          </w:tcPr>
          <w:p>
            <w:pPr>
              <w:pStyle w:val="45"/>
              <w:spacing w:before="8" w:line="213" w:lineRule="auto"/>
              <w:ind w:right="191"/>
              <w:rPr>
                <w:color w:val="auto"/>
                <w:sz w:val="21"/>
              </w:rPr>
            </w:pPr>
            <w:r>
              <w:rPr>
                <w:color w:val="auto"/>
                <w:sz w:val="21"/>
              </w:rPr>
              <w:t>1、</w:t>
            </w:r>
            <w:r>
              <w:rPr>
                <w:rFonts w:hint="eastAsia"/>
                <w:color w:val="auto"/>
                <w:sz w:val="21"/>
              </w:rPr>
              <w:t>省级建筑施工质量管理标准化年度项目考评优</w:t>
            </w:r>
            <w:r>
              <w:rPr>
                <w:rFonts w:hint="eastAsia"/>
                <w:color w:val="auto"/>
                <w:sz w:val="21"/>
                <w:lang w:eastAsia="zh-CN"/>
              </w:rPr>
              <w:t>良工地，</w:t>
            </w:r>
            <w:r>
              <w:rPr>
                <w:rFonts w:hint="eastAsia" w:ascii="宋体" w:hAnsi="宋体" w:cs="宋体"/>
                <w:color w:val="auto"/>
                <w:sz w:val="21"/>
                <w:szCs w:val="22"/>
                <w:lang w:val="zh-CN" w:eastAsia="zh-CN" w:bidi="zh-CN"/>
              </w:rPr>
              <w:t>每个记</w:t>
            </w:r>
            <w:r>
              <w:rPr>
                <w:rFonts w:hint="eastAsia" w:cs="宋体"/>
                <w:color w:val="auto"/>
                <w:sz w:val="21"/>
                <w:szCs w:val="22"/>
                <w:lang w:val="en-US" w:eastAsia="zh-CN" w:bidi="zh-CN"/>
              </w:rPr>
              <w:t>5</w:t>
            </w:r>
            <w:r>
              <w:rPr>
                <w:rFonts w:hint="eastAsia" w:ascii="宋体" w:hAnsi="宋体" w:cs="宋体"/>
                <w:color w:val="auto"/>
                <w:sz w:val="21"/>
                <w:szCs w:val="22"/>
                <w:lang w:val="en-US" w:eastAsia="zh-CN" w:bidi="zh-CN"/>
              </w:rPr>
              <w:t>分</w:t>
            </w:r>
            <w:r>
              <w:rPr>
                <w:color w:val="auto"/>
                <w:sz w:val="21"/>
              </w:rPr>
              <w:t xml:space="preserve">。 </w:t>
            </w:r>
          </w:p>
          <w:p>
            <w:pPr>
              <w:pStyle w:val="32"/>
              <w:ind w:left="0" w:leftChars="0" w:firstLine="0" w:firstLineChars="0"/>
              <w:rPr>
                <w:rFonts w:hint="eastAsia" w:ascii="宋体" w:hAnsi="宋体" w:eastAsia="宋体" w:cs="宋体"/>
                <w:color w:val="auto"/>
                <w:sz w:val="21"/>
                <w:szCs w:val="22"/>
                <w:lang w:val="zh-CN" w:eastAsia="zh-CN" w:bidi="zh-CN"/>
              </w:rPr>
            </w:pPr>
            <w:r>
              <w:rPr>
                <w:color w:val="auto"/>
                <w:sz w:val="21"/>
              </w:rPr>
              <w:t>2</w:t>
            </w:r>
            <w:r>
              <w:rPr>
                <w:rFonts w:hint="eastAsia" w:ascii="宋体" w:hAnsi="宋体" w:eastAsia="宋体" w:cs="宋体"/>
                <w:color w:val="auto"/>
                <w:sz w:val="21"/>
                <w:szCs w:val="22"/>
                <w:lang w:val="zh-CN" w:eastAsia="zh-CN" w:bidi="zh-CN"/>
              </w:rPr>
              <w:t>、省级建筑施工安全生产标准化年度项目考评优良工地</w:t>
            </w:r>
          </w:p>
          <w:p>
            <w:pPr>
              <w:pStyle w:val="32"/>
              <w:ind w:left="0" w:leftChars="0" w:firstLine="0" w:firstLineChars="0"/>
              <w:rPr>
                <w:rFonts w:hint="eastAsia" w:ascii="宋体" w:hAnsi="宋体" w:eastAsia="宋体" w:cs="宋体"/>
                <w:color w:val="auto"/>
                <w:sz w:val="21"/>
                <w:szCs w:val="22"/>
                <w:lang w:val="zh-CN" w:eastAsia="zh-CN" w:bidi="zh-CN"/>
              </w:rPr>
            </w:pPr>
            <w:r>
              <w:rPr>
                <w:rFonts w:hint="eastAsia" w:ascii="宋体" w:hAnsi="宋体" w:cs="宋体"/>
                <w:color w:val="auto"/>
                <w:sz w:val="21"/>
                <w:szCs w:val="22"/>
                <w:lang w:val="zh-CN" w:eastAsia="zh-CN" w:bidi="zh-CN"/>
              </w:rPr>
              <w:t>，每个记</w:t>
            </w:r>
            <w:r>
              <w:rPr>
                <w:rFonts w:hint="eastAsia" w:ascii="宋体" w:hAnsi="宋体" w:cs="宋体"/>
                <w:color w:val="auto"/>
                <w:sz w:val="21"/>
                <w:szCs w:val="22"/>
                <w:lang w:val="en-US" w:eastAsia="zh-CN" w:bidi="zh-CN"/>
              </w:rPr>
              <w:t>5分</w:t>
            </w:r>
            <w:r>
              <w:rPr>
                <w:rFonts w:hint="eastAsia" w:ascii="宋体" w:hAnsi="宋体" w:eastAsia="宋体" w:cs="宋体"/>
                <w:color w:val="auto"/>
                <w:sz w:val="21"/>
                <w:szCs w:val="22"/>
                <w:lang w:val="zh-CN" w:eastAsia="zh-CN" w:bidi="zh-CN"/>
              </w:rPr>
              <w:t>。</w:t>
            </w:r>
          </w:p>
          <w:p>
            <w:pPr>
              <w:pStyle w:val="32"/>
              <w:ind w:left="0" w:leftChars="0" w:firstLine="0" w:firstLineChars="0"/>
              <w:rPr>
                <w:rFonts w:hint="default" w:ascii="宋体" w:hAnsi="宋体" w:eastAsia="宋体" w:cs="宋体"/>
                <w:color w:val="auto"/>
                <w:sz w:val="21"/>
                <w:szCs w:val="22"/>
                <w:lang w:val="en-US" w:eastAsia="zh-CN" w:bidi="zh-CN"/>
              </w:rPr>
            </w:pPr>
            <w:r>
              <w:rPr>
                <w:rFonts w:hint="eastAsia" w:ascii="宋体" w:hAnsi="宋体" w:cs="宋体"/>
                <w:color w:val="auto"/>
                <w:sz w:val="21"/>
                <w:szCs w:val="22"/>
                <w:lang w:val="en-US" w:eastAsia="zh-CN" w:bidi="zh-CN"/>
              </w:rPr>
              <w:t>3、共计不超过4个。</w:t>
            </w:r>
          </w:p>
        </w:tc>
        <w:tc>
          <w:tcPr>
            <w:tcW w:w="589" w:type="dxa"/>
            <w:tcBorders>
              <w:top w:val="single" w:color="000000" w:sz="2" w:space="0"/>
              <w:left w:val="single" w:color="000000" w:sz="4" w:space="0"/>
              <w:bottom w:val="single" w:color="000000" w:sz="4" w:space="0"/>
              <w:right w:val="single" w:color="000000" w:sz="2" w:space="0"/>
            </w:tcBorders>
          </w:tcPr>
          <w:p>
            <w:pPr>
              <w:pStyle w:val="45"/>
              <w:rPr>
                <w:b/>
                <w:color w:val="auto"/>
                <w:sz w:val="20"/>
              </w:rPr>
            </w:pPr>
          </w:p>
          <w:p>
            <w:pPr>
              <w:pStyle w:val="45"/>
              <w:rPr>
                <w:b/>
                <w:color w:val="auto"/>
                <w:sz w:val="20"/>
              </w:rPr>
            </w:pPr>
          </w:p>
          <w:p>
            <w:pPr>
              <w:pStyle w:val="45"/>
              <w:spacing w:before="4"/>
              <w:rPr>
                <w:b/>
                <w:color w:val="auto"/>
                <w:sz w:val="24"/>
              </w:rPr>
            </w:pPr>
          </w:p>
          <w:p>
            <w:pPr>
              <w:pStyle w:val="45"/>
              <w:ind w:left="195"/>
              <w:rPr>
                <w:color w:val="auto"/>
                <w:sz w:val="21"/>
              </w:rPr>
            </w:pPr>
            <w:r>
              <w:rPr>
                <w:rFonts w:hint="eastAsia"/>
                <w:color w:val="auto"/>
                <w:sz w:val="21"/>
                <w:lang w:val="en-US" w:eastAsia="zh-CN"/>
              </w:rPr>
              <w:t>20</w:t>
            </w:r>
            <w:r>
              <w:rPr>
                <w:color w:val="auto"/>
                <w:sz w:val="21"/>
              </w:rPr>
              <w:t xml:space="preserve"> </w:t>
            </w:r>
          </w:p>
        </w:tc>
        <w:tc>
          <w:tcPr>
            <w:tcW w:w="865" w:type="dxa"/>
            <w:tcBorders>
              <w:top w:val="single" w:color="000000" w:sz="2" w:space="0"/>
              <w:left w:val="single" w:color="000000" w:sz="2" w:space="0"/>
              <w:bottom w:val="single" w:color="000000" w:sz="2" w:space="0"/>
            </w:tcBorders>
          </w:tcPr>
          <w:p>
            <w:pPr>
              <w:pStyle w:val="45"/>
              <w:rPr>
                <w:b/>
                <w:color w:val="auto"/>
                <w:sz w:val="20"/>
              </w:rPr>
            </w:pPr>
          </w:p>
          <w:p>
            <w:pPr>
              <w:pStyle w:val="45"/>
              <w:rPr>
                <w:b/>
                <w:color w:val="auto"/>
                <w:sz w:val="20"/>
              </w:rPr>
            </w:pPr>
          </w:p>
          <w:p>
            <w:pPr>
              <w:pStyle w:val="45"/>
              <w:spacing w:before="12"/>
              <w:rPr>
                <w:b/>
                <w:color w:val="auto"/>
                <w:sz w:val="14"/>
              </w:rPr>
            </w:pPr>
          </w:p>
          <w:p>
            <w:pPr>
              <w:pStyle w:val="45"/>
              <w:spacing w:line="255" w:lineRule="exact"/>
              <w:ind w:left="441"/>
              <w:rPr>
                <w:color w:val="auto"/>
                <w:sz w:val="21"/>
              </w:rPr>
            </w:pPr>
            <w:r>
              <w:rPr>
                <w:color w:val="auto"/>
                <w:w w:val="100"/>
                <w:sz w:val="21"/>
              </w:rPr>
              <w:t xml:space="preserve">  </w:t>
            </w:r>
          </w:p>
          <w:p>
            <w:pPr>
              <w:pStyle w:val="45"/>
              <w:spacing w:line="255" w:lineRule="exact"/>
              <w:ind w:left="441"/>
              <w:rPr>
                <w:color w:val="auto"/>
                <w:sz w:val="21"/>
              </w:rPr>
            </w:pPr>
            <w:r>
              <w:rPr>
                <w:color w:val="auto"/>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725" w:type="dxa"/>
            <w:vMerge w:val="restart"/>
            <w:tcBorders>
              <w:top w:val="single" w:color="000000" w:sz="4" w:space="0"/>
              <w:bottom w:val="single" w:color="000000" w:sz="2" w:space="0"/>
              <w:right w:val="single" w:color="000000" w:sz="2" w:space="0"/>
            </w:tcBorders>
          </w:tcPr>
          <w:p>
            <w:pPr>
              <w:pStyle w:val="45"/>
              <w:rPr>
                <w:b/>
                <w:color w:val="auto"/>
                <w:sz w:val="20"/>
              </w:rPr>
            </w:pPr>
          </w:p>
          <w:p>
            <w:pPr>
              <w:pStyle w:val="45"/>
              <w:rPr>
                <w:b/>
                <w:color w:val="auto"/>
                <w:sz w:val="20"/>
              </w:rPr>
            </w:pPr>
          </w:p>
          <w:p>
            <w:pPr>
              <w:pStyle w:val="45"/>
              <w:rPr>
                <w:b/>
                <w:color w:val="auto"/>
                <w:sz w:val="20"/>
              </w:rPr>
            </w:pPr>
          </w:p>
          <w:p>
            <w:pPr>
              <w:pStyle w:val="45"/>
              <w:spacing w:before="5"/>
              <w:rPr>
                <w:b/>
                <w:color w:val="auto"/>
                <w:sz w:val="26"/>
              </w:rPr>
            </w:pPr>
          </w:p>
          <w:p>
            <w:pPr>
              <w:pStyle w:val="45"/>
              <w:ind w:left="309"/>
              <w:rPr>
                <w:rFonts w:hint="default" w:eastAsia="宋体"/>
                <w:color w:val="auto"/>
                <w:sz w:val="21"/>
                <w:lang w:val="en-US" w:eastAsia="zh-CN"/>
              </w:rPr>
            </w:pPr>
            <w:r>
              <w:rPr>
                <w:rFonts w:hint="eastAsia"/>
                <w:color w:val="auto"/>
                <w:sz w:val="21"/>
                <w:lang w:val="en-US" w:eastAsia="zh-CN"/>
              </w:rPr>
              <w:t>4</w:t>
            </w:r>
          </w:p>
        </w:tc>
        <w:tc>
          <w:tcPr>
            <w:tcW w:w="1851" w:type="dxa"/>
            <w:vMerge w:val="restart"/>
            <w:tcBorders>
              <w:top w:val="single" w:color="000000" w:sz="4" w:space="0"/>
              <w:left w:val="single" w:color="000000" w:sz="2" w:space="0"/>
              <w:bottom w:val="single" w:color="000000" w:sz="4" w:space="0"/>
              <w:right w:val="single" w:color="000000" w:sz="2" w:space="0"/>
            </w:tcBorders>
          </w:tcPr>
          <w:p>
            <w:pPr>
              <w:pStyle w:val="45"/>
              <w:rPr>
                <w:b/>
                <w:color w:val="auto"/>
                <w:sz w:val="20"/>
              </w:rPr>
            </w:pPr>
          </w:p>
          <w:p>
            <w:pPr>
              <w:pStyle w:val="45"/>
              <w:rPr>
                <w:b/>
                <w:color w:val="auto"/>
                <w:sz w:val="20"/>
              </w:rPr>
            </w:pPr>
          </w:p>
          <w:p>
            <w:pPr>
              <w:pStyle w:val="45"/>
              <w:rPr>
                <w:b/>
                <w:color w:val="auto"/>
                <w:sz w:val="20"/>
              </w:rPr>
            </w:pPr>
          </w:p>
          <w:p>
            <w:pPr>
              <w:pStyle w:val="45"/>
              <w:rPr>
                <w:b/>
                <w:color w:val="auto"/>
                <w:sz w:val="17"/>
              </w:rPr>
            </w:pPr>
          </w:p>
          <w:p>
            <w:pPr>
              <w:pStyle w:val="45"/>
              <w:spacing w:before="1" w:line="255" w:lineRule="exact"/>
              <w:ind w:left="143"/>
              <w:rPr>
                <w:color w:val="auto"/>
                <w:sz w:val="21"/>
              </w:rPr>
            </w:pPr>
            <w:r>
              <w:rPr>
                <w:color w:val="auto"/>
                <w:sz w:val="21"/>
              </w:rPr>
              <w:t>不良行为记录情况</w:t>
            </w:r>
          </w:p>
          <w:p>
            <w:pPr>
              <w:pStyle w:val="45"/>
              <w:spacing w:line="255" w:lineRule="exact"/>
              <w:ind w:left="242"/>
              <w:rPr>
                <w:color w:val="auto"/>
                <w:sz w:val="21"/>
              </w:rPr>
            </w:pPr>
            <w:r>
              <w:rPr>
                <w:color w:val="auto"/>
                <w:sz w:val="21"/>
              </w:rPr>
              <w:t xml:space="preserve">（联合体各方） </w:t>
            </w:r>
          </w:p>
        </w:tc>
        <w:tc>
          <w:tcPr>
            <w:tcW w:w="1330" w:type="dxa"/>
            <w:vMerge w:val="restart"/>
            <w:tcBorders>
              <w:top w:val="single" w:color="000000" w:sz="4" w:space="0"/>
              <w:left w:val="single" w:color="000000" w:sz="2" w:space="0"/>
              <w:bottom w:val="single" w:color="000000" w:sz="2" w:space="0"/>
              <w:right w:val="single" w:color="000000" w:sz="2" w:space="0"/>
            </w:tcBorders>
          </w:tcPr>
          <w:p>
            <w:pPr>
              <w:pStyle w:val="45"/>
              <w:spacing w:before="5"/>
              <w:rPr>
                <w:b/>
                <w:color w:val="auto"/>
                <w:sz w:val="20"/>
              </w:rPr>
            </w:pPr>
          </w:p>
          <w:p>
            <w:pPr>
              <w:pStyle w:val="45"/>
              <w:spacing w:line="213" w:lineRule="auto"/>
              <w:ind w:left="150" w:right="15"/>
              <w:jc w:val="both"/>
              <w:rPr>
                <w:color w:val="auto"/>
                <w:sz w:val="21"/>
              </w:rPr>
            </w:pPr>
            <w:r>
              <w:rPr>
                <w:color w:val="auto"/>
                <w:sz w:val="21"/>
              </w:rPr>
              <w:t xml:space="preserve">拟任项目经理（兼任施工负责人） </w:t>
            </w:r>
          </w:p>
        </w:tc>
        <w:tc>
          <w:tcPr>
            <w:tcW w:w="3825" w:type="dxa"/>
            <w:tcBorders>
              <w:top w:val="single" w:color="000000" w:sz="4" w:space="0"/>
              <w:left w:val="single" w:color="000000" w:sz="2" w:space="0"/>
              <w:bottom w:val="single" w:color="000000" w:sz="4" w:space="0"/>
              <w:right w:val="single" w:color="000000" w:sz="2" w:space="0"/>
            </w:tcBorders>
          </w:tcPr>
          <w:p>
            <w:pPr>
              <w:pStyle w:val="45"/>
              <w:spacing w:before="44"/>
              <w:ind w:left="119"/>
              <w:rPr>
                <w:color w:val="auto"/>
                <w:sz w:val="21"/>
              </w:rPr>
            </w:pPr>
            <w:r>
              <w:rPr>
                <w:color w:val="auto"/>
                <w:sz w:val="21"/>
              </w:rPr>
              <w:t xml:space="preserve">没有不良行为记录 </w:t>
            </w:r>
          </w:p>
        </w:tc>
        <w:tc>
          <w:tcPr>
            <w:tcW w:w="589" w:type="dxa"/>
            <w:tcBorders>
              <w:top w:val="single" w:color="000000" w:sz="2" w:space="0"/>
              <w:left w:val="single" w:color="000000" w:sz="2" w:space="0"/>
              <w:bottom w:val="single" w:color="000000" w:sz="2" w:space="0"/>
              <w:right w:val="single" w:color="000000" w:sz="2" w:space="0"/>
            </w:tcBorders>
          </w:tcPr>
          <w:p>
            <w:pPr>
              <w:pStyle w:val="45"/>
              <w:spacing w:before="44"/>
              <w:ind w:left="197"/>
              <w:rPr>
                <w:color w:val="auto"/>
                <w:sz w:val="21"/>
              </w:rPr>
            </w:pPr>
            <w:r>
              <w:rPr>
                <w:rFonts w:hint="eastAsia"/>
                <w:color w:val="auto"/>
                <w:sz w:val="21"/>
                <w:lang w:val="en-US" w:eastAsia="zh-CN"/>
              </w:rPr>
              <w:t>20</w:t>
            </w:r>
            <w:r>
              <w:rPr>
                <w:color w:val="auto"/>
                <w:sz w:val="21"/>
              </w:rPr>
              <w:t xml:space="preserve"> </w:t>
            </w:r>
          </w:p>
        </w:tc>
        <w:tc>
          <w:tcPr>
            <w:tcW w:w="865" w:type="dxa"/>
            <w:vMerge w:val="restart"/>
            <w:tcBorders>
              <w:top w:val="single" w:color="000000" w:sz="4" w:space="0"/>
              <w:left w:val="single" w:color="000000" w:sz="2" w:space="0"/>
              <w:bottom w:val="single" w:color="000000" w:sz="2" w:space="0"/>
            </w:tcBorders>
          </w:tcPr>
          <w:p>
            <w:pPr>
              <w:pStyle w:val="45"/>
              <w:rPr>
                <w:b/>
                <w:color w:val="auto"/>
                <w:sz w:val="20"/>
              </w:rPr>
            </w:pPr>
          </w:p>
          <w:p>
            <w:pPr>
              <w:pStyle w:val="45"/>
              <w:spacing w:before="4"/>
              <w:rPr>
                <w:b/>
                <w:color w:val="auto"/>
                <w:sz w:val="17"/>
              </w:rPr>
            </w:pPr>
          </w:p>
          <w:p>
            <w:pPr>
              <w:pStyle w:val="45"/>
              <w:ind w:left="140"/>
              <w:jc w:val="center"/>
              <w:rPr>
                <w:color w:val="auto"/>
                <w:sz w:val="21"/>
              </w:rPr>
            </w:pPr>
            <w:r>
              <w:rPr>
                <w:color w:val="auto"/>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725" w:type="dxa"/>
            <w:vMerge w:val="continue"/>
            <w:tcBorders>
              <w:top w:val="nil"/>
              <w:bottom w:val="single" w:color="000000" w:sz="2" w:space="0"/>
              <w:right w:val="single" w:color="000000" w:sz="2" w:space="0"/>
            </w:tcBorders>
          </w:tcPr>
          <w:p>
            <w:pPr>
              <w:rPr>
                <w:color w:val="auto"/>
                <w:sz w:val="2"/>
                <w:szCs w:val="2"/>
              </w:rPr>
            </w:pPr>
          </w:p>
        </w:tc>
        <w:tc>
          <w:tcPr>
            <w:tcW w:w="1851" w:type="dxa"/>
            <w:vMerge w:val="continue"/>
            <w:tcBorders>
              <w:top w:val="nil"/>
              <w:left w:val="single" w:color="000000" w:sz="2" w:space="0"/>
              <w:bottom w:val="single" w:color="000000" w:sz="4" w:space="0"/>
              <w:right w:val="single" w:color="000000" w:sz="2" w:space="0"/>
            </w:tcBorders>
          </w:tcPr>
          <w:p>
            <w:pPr>
              <w:rPr>
                <w:color w:val="auto"/>
                <w:sz w:val="2"/>
                <w:szCs w:val="2"/>
              </w:rPr>
            </w:pPr>
          </w:p>
        </w:tc>
        <w:tc>
          <w:tcPr>
            <w:tcW w:w="1330" w:type="dxa"/>
            <w:vMerge w:val="continue"/>
            <w:tcBorders>
              <w:top w:val="nil"/>
              <w:left w:val="single" w:color="000000" w:sz="2" w:space="0"/>
              <w:bottom w:val="single" w:color="000000" w:sz="2" w:space="0"/>
              <w:right w:val="single" w:color="000000" w:sz="2" w:space="0"/>
            </w:tcBorders>
          </w:tcPr>
          <w:p>
            <w:pPr>
              <w:rPr>
                <w:color w:val="auto"/>
                <w:sz w:val="2"/>
                <w:szCs w:val="2"/>
              </w:rPr>
            </w:pPr>
          </w:p>
        </w:tc>
        <w:tc>
          <w:tcPr>
            <w:tcW w:w="4414" w:type="dxa"/>
            <w:gridSpan w:val="2"/>
            <w:tcBorders>
              <w:top w:val="single" w:color="000000" w:sz="4" w:space="0"/>
              <w:left w:val="single" w:color="000000" w:sz="2" w:space="0"/>
              <w:bottom w:val="single" w:color="000000" w:sz="2" w:space="0"/>
              <w:right w:val="single" w:color="000000" w:sz="2" w:space="0"/>
            </w:tcBorders>
          </w:tcPr>
          <w:p>
            <w:pPr>
              <w:pStyle w:val="45"/>
              <w:spacing w:before="82"/>
              <w:ind w:left="119"/>
              <w:rPr>
                <w:color w:val="auto"/>
                <w:sz w:val="21"/>
              </w:rPr>
            </w:pPr>
            <w:r>
              <w:rPr>
                <w:color w:val="auto"/>
                <w:sz w:val="21"/>
              </w:rPr>
              <w:t xml:space="preserve">每发生一次一般不良行为记录扣3分 </w:t>
            </w:r>
          </w:p>
        </w:tc>
        <w:tc>
          <w:tcPr>
            <w:tcW w:w="865" w:type="dxa"/>
            <w:vMerge w:val="continue"/>
            <w:tcBorders>
              <w:top w:val="nil"/>
              <w:left w:val="single" w:color="000000" w:sz="2" w:space="0"/>
              <w:bottom w:val="single" w:color="000000" w:sz="2"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725" w:type="dxa"/>
            <w:vMerge w:val="continue"/>
            <w:tcBorders>
              <w:top w:val="nil"/>
              <w:bottom w:val="single" w:color="000000" w:sz="2" w:space="0"/>
              <w:right w:val="single" w:color="000000" w:sz="2" w:space="0"/>
            </w:tcBorders>
          </w:tcPr>
          <w:p>
            <w:pPr>
              <w:rPr>
                <w:color w:val="auto"/>
                <w:sz w:val="2"/>
                <w:szCs w:val="2"/>
              </w:rPr>
            </w:pPr>
          </w:p>
        </w:tc>
        <w:tc>
          <w:tcPr>
            <w:tcW w:w="1851" w:type="dxa"/>
            <w:vMerge w:val="continue"/>
            <w:tcBorders>
              <w:top w:val="nil"/>
              <w:left w:val="single" w:color="000000" w:sz="2" w:space="0"/>
              <w:bottom w:val="single" w:color="000000" w:sz="4" w:space="0"/>
              <w:right w:val="single" w:color="000000" w:sz="2" w:space="0"/>
            </w:tcBorders>
          </w:tcPr>
          <w:p>
            <w:pPr>
              <w:rPr>
                <w:color w:val="auto"/>
                <w:sz w:val="2"/>
                <w:szCs w:val="2"/>
              </w:rPr>
            </w:pPr>
          </w:p>
        </w:tc>
        <w:tc>
          <w:tcPr>
            <w:tcW w:w="1330" w:type="dxa"/>
            <w:vMerge w:val="continue"/>
            <w:tcBorders>
              <w:top w:val="nil"/>
              <w:left w:val="single" w:color="000000" w:sz="2" w:space="0"/>
              <w:bottom w:val="single" w:color="000000" w:sz="2" w:space="0"/>
              <w:right w:val="single" w:color="000000" w:sz="2" w:space="0"/>
            </w:tcBorders>
          </w:tcPr>
          <w:p>
            <w:pPr>
              <w:rPr>
                <w:color w:val="auto"/>
                <w:sz w:val="2"/>
                <w:szCs w:val="2"/>
              </w:rPr>
            </w:pPr>
          </w:p>
        </w:tc>
        <w:tc>
          <w:tcPr>
            <w:tcW w:w="4414" w:type="dxa"/>
            <w:gridSpan w:val="2"/>
            <w:tcBorders>
              <w:top w:val="single" w:color="000000" w:sz="2" w:space="0"/>
              <w:left w:val="single" w:color="000000" w:sz="2" w:space="0"/>
              <w:bottom w:val="single" w:color="000000" w:sz="2" w:space="0"/>
              <w:right w:val="single" w:color="000000" w:sz="2" w:space="0"/>
            </w:tcBorders>
          </w:tcPr>
          <w:p>
            <w:pPr>
              <w:pStyle w:val="45"/>
              <w:spacing w:before="70"/>
              <w:ind w:left="119"/>
              <w:rPr>
                <w:color w:val="auto"/>
                <w:sz w:val="21"/>
              </w:rPr>
            </w:pPr>
            <w:r>
              <w:rPr>
                <w:color w:val="auto"/>
                <w:sz w:val="21"/>
              </w:rPr>
              <w:t xml:space="preserve">每发生一次严重不良行为记录扣5分 </w:t>
            </w:r>
          </w:p>
        </w:tc>
        <w:tc>
          <w:tcPr>
            <w:tcW w:w="865" w:type="dxa"/>
            <w:vMerge w:val="continue"/>
            <w:tcBorders>
              <w:top w:val="nil"/>
              <w:left w:val="single" w:color="000000" w:sz="2" w:space="0"/>
              <w:bottom w:val="single" w:color="000000" w:sz="2"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trPr>
        <w:tc>
          <w:tcPr>
            <w:tcW w:w="725" w:type="dxa"/>
            <w:vMerge w:val="continue"/>
            <w:tcBorders>
              <w:top w:val="nil"/>
              <w:bottom w:val="single" w:color="000000" w:sz="2" w:space="0"/>
              <w:right w:val="single" w:color="000000" w:sz="2" w:space="0"/>
            </w:tcBorders>
          </w:tcPr>
          <w:p>
            <w:pPr>
              <w:rPr>
                <w:color w:val="auto"/>
                <w:sz w:val="2"/>
                <w:szCs w:val="2"/>
              </w:rPr>
            </w:pPr>
          </w:p>
        </w:tc>
        <w:tc>
          <w:tcPr>
            <w:tcW w:w="1851" w:type="dxa"/>
            <w:vMerge w:val="continue"/>
            <w:tcBorders>
              <w:top w:val="nil"/>
              <w:left w:val="single" w:color="000000" w:sz="2" w:space="0"/>
              <w:bottom w:val="single" w:color="000000" w:sz="4" w:space="0"/>
              <w:right w:val="single" w:color="000000" w:sz="2" w:space="0"/>
            </w:tcBorders>
          </w:tcPr>
          <w:p>
            <w:pPr>
              <w:rPr>
                <w:color w:val="auto"/>
                <w:sz w:val="2"/>
                <w:szCs w:val="2"/>
              </w:rPr>
            </w:pPr>
          </w:p>
        </w:tc>
        <w:tc>
          <w:tcPr>
            <w:tcW w:w="1330" w:type="dxa"/>
            <w:vMerge w:val="restart"/>
            <w:tcBorders>
              <w:top w:val="single" w:color="000000" w:sz="2" w:space="0"/>
              <w:left w:val="single" w:color="000000" w:sz="2" w:space="0"/>
              <w:bottom w:val="single" w:color="000000" w:sz="2" w:space="0"/>
              <w:right w:val="single" w:color="000000" w:sz="2" w:space="0"/>
            </w:tcBorders>
          </w:tcPr>
          <w:p>
            <w:pPr>
              <w:pStyle w:val="45"/>
              <w:rPr>
                <w:b/>
                <w:color w:val="auto"/>
                <w:sz w:val="20"/>
              </w:rPr>
            </w:pPr>
          </w:p>
          <w:p>
            <w:pPr>
              <w:pStyle w:val="45"/>
              <w:spacing w:before="1"/>
              <w:rPr>
                <w:b/>
                <w:color w:val="auto"/>
                <w:sz w:val="18"/>
              </w:rPr>
            </w:pPr>
          </w:p>
          <w:p>
            <w:pPr>
              <w:pStyle w:val="45"/>
              <w:ind w:left="371"/>
              <w:rPr>
                <w:color w:val="auto"/>
                <w:sz w:val="21"/>
              </w:rPr>
            </w:pPr>
            <w:r>
              <w:rPr>
                <w:color w:val="auto"/>
                <w:sz w:val="21"/>
              </w:rPr>
              <w:t xml:space="preserve">投标人 </w:t>
            </w:r>
          </w:p>
        </w:tc>
        <w:tc>
          <w:tcPr>
            <w:tcW w:w="3825" w:type="dxa"/>
            <w:tcBorders>
              <w:top w:val="single" w:color="000000" w:sz="2" w:space="0"/>
              <w:left w:val="single" w:color="000000" w:sz="2" w:space="0"/>
              <w:bottom w:val="single" w:color="000000" w:sz="2" w:space="0"/>
              <w:right w:val="single" w:color="000000" w:sz="2" w:space="0"/>
            </w:tcBorders>
          </w:tcPr>
          <w:p>
            <w:pPr>
              <w:pStyle w:val="45"/>
              <w:spacing w:before="46"/>
              <w:ind w:left="119"/>
              <w:rPr>
                <w:color w:val="auto"/>
                <w:sz w:val="21"/>
              </w:rPr>
            </w:pPr>
            <w:r>
              <w:rPr>
                <w:color w:val="auto"/>
                <w:sz w:val="21"/>
              </w:rPr>
              <w:t xml:space="preserve">没有不良行为记录 </w:t>
            </w:r>
          </w:p>
        </w:tc>
        <w:tc>
          <w:tcPr>
            <w:tcW w:w="589" w:type="dxa"/>
            <w:tcBorders>
              <w:top w:val="single" w:color="000000" w:sz="2" w:space="0"/>
              <w:left w:val="single" w:color="000000" w:sz="2" w:space="0"/>
              <w:bottom w:val="single" w:color="000000" w:sz="2" w:space="0"/>
              <w:right w:val="single" w:color="000000" w:sz="2" w:space="0"/>
            </w:tcBorders>
          </w:tcPr>
          <w:p>
            <w:pPr>
              <w:pStyle w:val="45"/>
              <w:spacing w:before="46"/>
              <w:ind w:left="197"/>
              <w:rPr>
                <w:color w:val="auto"/>
                <w:sz w:val="21"/>
              </w:rPr>
            </w:pPr>
            <w:r>
              <w:rPr>
                <w:rFonts w:hint="eastAsia"/>
                <w:color w:val="auto"/>
                <w:sz w:val="21"/>
                <w:lang w:val="en-US" w:eastAsia="zh-CN"/>
              </w:rPr>
              <w:t>30</w:t>
            </w:r>
            <w:r>
              <w:rPr>
                <w:color w:val="auto"/>
                <w:sz w:val="21"/>
              </w:rPr>
              <w:t xml:space="preserve"> </w:t>
            </w:r>
          </w:p>
        </w:tc>
        <w:tc>
          <w:tcPr>
            <w:tcW w:w="865" w:type="dxa"/>
            <w:vMerge w:val="restart"/>
            <w:tcBorders>
              <w:top w:val="single" w:color="000000" w:sz="2" w:space="0"/>
              <w:left w:val="single" w:color="000000" w:sz="2" w:space="0"/>
              <w:bottom w:val="single" w:color="000000" w:sz="2" w:space="0"/>
            </w:tcBorders>
          </w:tcPr>
          <w:p>
            <w:pPr>
              <w:pStyle w:val="45"/>
              <w:rPr>
                <w:b/>
                <w:color w:val="auto"/>
                <w:sz w:val="20"/>
              </w:rPr>
            </w:pPr>
          </w:p>
          <w:p>
            <w:pPr>
              <w:pStyle w:val="45"/>
              <w:spacing w:before="1"/>
              <w:rPr>
                <w:b/>
                <w:color w:val="auto"/>
                <w:sz w:val="18"/>
              </w:rPr>
            </w:pPr>
          </w:p>
          <w:p>
            <w:pPr>
              <w:pStyle w:val="45"/>
              <w:ind w:left="140"/>
              <w:jc w:val="center"/>
              <w:rPr>
                <w:color w:val="auto"/>
                <w:sz w:val="21"/>
              </w:rPr>
            </w:pPr>
            <w:r>
              <w:rPr>
                <w:color w:val="auto"/>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725" w:type="dxa"/>
            <w:vMerge w:val="continue"/>
            <w:tcBorders>
              <w:top w:val="nil"/>
              <w:bottom w:val="single" w:color="000000" w:sz="2" w:space="0"/>
              <w:right w:val="single" w:color="000000" w:sz="2" w:space="0"/>
            </w:tcBorders>
          </w:tcPr>
          <w:p>
            <w:pPr>
              <w:rPr>
                <w:color w:val="auto"/>
                <w:sz w:val="2"/>
                <w:szCs w:val="2"/>
              </w:rPr>
            </w:pPr>
          </w:p>
        </w:tc>
        <w:tc>
          <w:tcPr>
            <w:tcW w:w="1851" w:type="dxa"/>
            <w:vMerge w:val="continue"/>
            <w:tcBorders>
              <w:top w:val="nil"/>
              <w:left w:val="single" w:color="000000" w:sz="2" w:space="0"/>
              <w:bottom w:val="single" w:color="000000" w:sz="4" w:space="0"/>
              <w:right w:val="single" w:color="000000" w:sz="2" w:space="0"/>
            </w:tcBorders>
          </w:tcPr>
          <w:p>
            <w:pPr>
              <w:rPr>
                <w:color w:val="auto"/>
                <w:sz w:val="2"/>
                <w:szCs w:val="2"/>
              </w:rPr>
            </w:pPr>
          </w:p>
        </w:tc>
        <w:tc>
          <w:tcPr>
            <w:tcW w:w="1330" w:type="dxa"/>
            <w:vMerge w:val="continue"/>
            <w:tcBorders>
              <w:top w:val="nil"/>
              <w:left w:val="single" w:color="000000" w:sz="2" w:space="0"/>
              <w:bottom w:val="single" w:color="000000" w:sz="2" w:space="0"/>
              <w:right w:val="single" w:color="000000" w:sz="2" w:space="0"/>
            </w:tcBorders>
          </w:tcPr>
          <w:p>
            <w:pPr>
              <w:rPr>
                <w:color w:val="auto"/>
                <w:sz w:val="2"/>
                <w:szCs w:val="2"/>
              </w:rPr>
            </w:pPr>
          </w:p>
        </w:tc>
        <w:tc>
          <w:tcPr>
            <w:tcW w:w="4414" w:type="dxa"/>
            <w:gridSpan w:val="2"/>
            <w:tcBorders>
              <w:top w:val="single" w:color="000000" w:sz="2" w:space="0"/>
              <w:left w:val="single" w:color="000000" w:sz="2" w:space="0"/>
              <w:bottom w:val="single" w:color="000000" w:sz="2" w:space="0"/>
              <w:right w:val="single" w:color="000000" w:sz="2" w:space="0"/>
            </w:tcBorders>
          </w:tcPr>
          <w:p>
            <w:pPr>
              <w:pStyle w:val="45"/>
              <w:spacing w:before="85"/>
              <w:ind w:left="119"/>
              <w:rPr>
                <w:color w:val="auto"/>
                <w:sz w:val="21"/>
              </w:rPr>
            </w:pPr>
            <w:r>
              <w:rPr>
                <w:color w:val="auto"/>
                <w:sz w:val="21"/>
              </w:rPr>
              <w:t xml:space="preserve">每发生一次一般不良行为记录扣２分 </w:t>
            </w:r>
          </w:p>
        </w:tc>
        <w:tc>
          <w:tcPr>
            <w:tcW w:w="865" w:type="dxa"/>
            <w:vMerge w:val="continue"/>
            <w:tcBorders>
              <w:top w:val="nil"/>
              <w:left w:val="single" w:color="000000" w:sz="2" w:space="0"/>
              <w:bottom w:val="single" w:color="000000" w:sz="2"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4" w:hRule="atLeast"/>
        </w:trPr>
        <w:tc>
          <w:tcPr>
            <w:tcW w:w="725" w:type="dxa"/>
            <w:vMerge w:val="continue"/>
            <w:tcBorders>
              <w:top w:val="nil"/>
              <w:bottom w:val="single" w:color="000000" w:sz="2" w:space="0"/>
              <w:right w:val="single" w:color="000000" w:sz="2" w:space="0"/>
            </w:tcBorders>
          </w:tcPr>
          <w:p>
            <w:pPr>
              <w:rPr>
                <w:color w:val="auto"/>
                <w:sz w:val="2"/>
                <w:szCs w:val="2"/>
              </w:rPr>
            </w:pPr>
          </w:p>
        </w:tc>
        <w:tc>
          <w:tcPr>
            <w:tcW w:w="1851" w:type="dxa"/>
            <w:vMerge w:val="continue"/>
            <w:tcBorders>
              <w:top w:val="nil"/>
              <w:left w:val="single" w:color="000000" w:sz="2" w:space="0"/>
              <w:bottom w:val="single" w:color="000000" w:sz="4" w:space="0"/>
              <w:right w:val="single" w:color="000000" w:sz="2" w:space="0"/>
            </w:tcBorders>
          </w:tcPr>
          <w:p>
            <w:pPr>
              <w:rPr>
                <w:color w:val="auto"/>
                <w:sz w:val="2"/>
                <w:szCs w:val="2"/>
              </w:rPr>
            </w:pPr>
          </w:p>
        </w:tc>
        <w:tc>
          <w:tcPr>
            <w:tcW w:w="1330" w:type="dxa"/>
            <w:vMerge w:val="continue"/>
            <w:tcBorders>
              <w:top w:val="nil"/>
              <w:left w:val="single" w:color="000000" w:sz="2" w:space="0"/>
              <w:bottom w:val="single" w:color="000000" w:sz="2" w:space="0"/>
              <w:right w:val="single" w:color="000000" w:sz="2" w:space="0"/>
            </w:tcBorders>
          </w:tcPr>
          <w:p>
            <w:pPr>
              <w:rPr>
                <w:color w:val="auto"/>
                <w:sz w:val="2"/>
                <w:szCs w:val="2"/>
              </w:rPr>
            </w:pPr>
          </w:p>
        </w:tc>
        <w:tc>
          <w:tcPr>
            <w:tcW w:w="4414" w:type="dxa"/>
            <w:gridSpan w:val="2"/>
            <w:tcBorders>
              <w:top w:val="single" w:color="000000" w:sz="2" w:space="0"/>
              <w:left w:val="single" w:color="000000" w:sz="2" w:space="0"/>
              <w:bottom w:val="single" w:color="000000" w:sz="2" w:space="0"/>
              <w:right w:val="single" w:color="000000" w:sz="2" w:space="0"/>
            </w:tcBorders>
          </w:tcPr>
          <w:p>
            <w:pPr>
              <w:pStyle w:val="45"/>
              <w:spacing w:before="75"/>
              <w:ind w:left="119"/>
              <w:rPr>
                <w:color w:val="auto"/>
                <w:sz w:val="21"/>
              </w:rPr>
            </w:pPr>
            <w:r>
              <w:rPr>
                <w:color w:val="auto"/>
                <w:sz w:val="21"/>
              </w:rPr>
              <w:t xml:space="preserve">每发生一次严重不良行为记录扣４分 </w:t>
            </w:r>
          </w:p>
        </w:tc>
        <w:tc>
          <w:tcPr>
            <w:tcW w:w="865" w:type="dxa"/>
            <w:vMerge w:val="continue"/>
            <w:tcBorders>
              <w:top w:val="nil"/>
              <w:left w:val="single" w:color="000000" w:sz="2" w:space="0"/>
              <w:bottom w:val="single" w:color="000000" w:sz="2"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725" w:type="dxa"/>
            <w:tcBorders>
              <w:top w:val="single" w:color="000000" w:sz="2" w:space="0"/>
              <w:right w:val="single" w:color="000000" w:sz="2" w:space="0"/>
            </w:tcBorders>
          </w:tcPr>
          <w:p>
            <w:pPr>
              <w:pStyle w:val="45"/>
              <w:spacing w:before="106"/>
              <w:ind w:left="174" w:right="53"/>
              <w:jc w:val="center"/>
              <w:rPr>
                <w:rFonts w:hint="eastAsia" w:eastAsia="宋体"/>
                <w:color w:val="auto"/>
                <w:sz w:val="21"/>
                <w:lang w:val="en-US" w:eastAsia="zh-CN"/>
              </w:rPr>
            </w:pPr>
            <w:r>
              <w:rPr>
                <w:rFonts w:hint="eastAsia"/>
                <w:color w:val="auto"/>
                <w:sz w:val="21"/>
                <w:lang w:val="en-US" w:eastAsia="zh-CN"/>
              </w:rPr>
              <w:t>5</w:t>
            </w:r>
          </w:p>
        </w:tc>
        <w:tc>
          <w:tcPr>
            <w:tcW w:w="7595" w:type="dxa"/>
            <w:gridSpan w:val="4"/>
            <w:tcBorders>
              <w:top w:val="single" w:color="000000" w:sz="4" w:space="0"/>
              <w:left w:val="single" w:color="000000" w:sz="2" w:space="0"/>
              <w:right w:val="single" w:color="000000" w:sz="2" w:space="0"/>
            </w:tcBorders>
          </w:tcPr>
          <w:p>
            <w:pPr>
              <w:pStyle w:val="45"/>
              <w:spacing w:before="106"/>
              <w:ind w:left="3525" w:right="3394"/>
              <w:jc w:val="center"/>
              <w:rPr>
                <w:color w:val="auto"/>
                <w:sz w:val="21"/>
              </w:rPr>
            </w:pPr>
            <w:r>
              <w:rPr>
                <w:color w:val="auto"/>
                <w:sz w:val="21"/>
              </w:rPr>
              <w:t xml:space="preserve">合  计 </w:t>
            </w:r>
          </w:p>
        </w:tc>
        <w:tc>
          <w:tcPr>
            <w:tcW w:w="865" w:type="dxa"/>
            <w:tcBorders>
              <w:top w:val="single" w:color="000000" w:sz="2" w:space="0"/>
              <w:left w:val="single" w:color="000000" w:sz="2" w:space="0"/>
            </w:tcBorders>
          </w:tcPr>
          <w:p>
            <w:pPr>
              <w:pStyle w:val="45"/>
              <w:spacing w:before="106"/>
              <w:ind w:right="298"/>
              <w:jc w:val="right"/>
              <w:rPr>
                <w:color w:val="auto"/>
                <w:sz w:val="21"/>
              </w:rPr>
            </w:pPr>
            <w:r>
              <w:rPr>
                <w:color w:val="auto"/>
                <w:w w:val="100"/>
                <w:sz w:val="21"/>
              </w:rPr>
              <w:t xml:space="preserve"> </w:t>
            </w:r>
          </w:p>
        </w:tc>
      </w:tr>
    </w:tbl>
    <w:p>
      <w:pPr>
        <w:spacing w:before="69"/>
        <w:ind w:left="220" w:right="0" w:firstLine="0"/>
        <w:jc w:val="left"/>
        <w:rPr>
          <w:color w:val="auto"/>
          <w:sz w:val="22"/>
        </w:rPr>
      </w:pPr>
      <w:r>
        <w:rPr>
          <w:color w:val="auto"/>
          <w:sz w:val="22"/>
        </w:rPr>
        <w:t xml:space="preserve">备注：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加分和扣分具有有效期的，以提交投标文件截止时间为准。有效期限按下列规定执行：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企业不良行为记录扣分有效期为180天，拟任项目经理不良行为记录扣分有效期为720天。</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（在本省行政区域内发生不良行为的，以开标时省住房和城乡建设厅已发的文件为准，自公布之日起计算）；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获奖：投标人的获奖情况，国家级奖项以最新（近）的2个年度情况为准，从文件公布时间计算。省级奖项以最新（近）的1个年度情况为准，从文件公布时间计算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不良行为记录包括工程质量、安全生产、市场行为等方面的情况。省住房和城乡建设厅 发布的《湖南省建筑市场责任主体不良行为记录》是确认本省行政区域内不良行为记录的依据， 其有效期限统一按省住房和城乡建设厅发布《湖南省建筑市场责任主体不良行为记录》的时间 计算。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本省行政区域外符合以下两种情形之一的不良行为记录，作为我省在房屋建筑和市政工程 招标评标中的扣分依据：1.住房和城乡建设部统一在全国公布的；2.由外省（自治区、直辖市） 住房和城乡建设主管部门在当地建筑市场信息平台上统一公布的，其认定标准、认定程序、结 果运用与我省规定基本一致，且直接运用于招投标，在评标时采取单项次扣分的。对外省不良 行为记录认定标准、认定程序、结果运用与我省规定差别较大，且不直接运用于招投标，在评 标中不采取单项次扣分的（如只综合运用于信用等级评价），不作为我省在房屋建筑和市政工程招标评标中的直接扣分依据。本省行政区域外不良行为记录扣分有效期统一按照我省规定执行。当外省相关部门没有确定不良行为记录程度为一般或严重时，按照我省认定标准确认。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省外企业应当在资格审查资料中如实反映和提供企业及其拟任项目经理有效期限内符合上述规定的不良行为记录，并附企业注册所在地省级住房和城乡建设主管部门的证明文件或相关官方网站下载资料。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当投标人提供的证明文件与经查实的事实有不相符合，以经查实的事实为依据，如证明文件相对经查实的事实对投标人有利时，应当按照弄虚作假处理并认定其为不合格投标人。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投标人提供相应的情况、证明、文件等资料与经查实的事实不相符合，且对该投标人有利的， 按照弄虚作假方式处理，认定其为不合格投标人。 </w:t>
      </w:r>
    </w:p>
    <w:p>
      <w:pPr>
        <w:pStyle w:val="8"/>
        <w:spacing w:before="105" w:line="242" w:lineRule="auto"/>
        <w:ind w:left="220" w:right="134" w:firstLine="420"/>
        <w:rPr>
          <w:rFonts w:hint="eastAsia" w:ascii="新宋体" w:eastAsia="新宋体"/>
          <w:color w:val="auto"/>
        </w:rPr>
      </w:pPr>
      <w:r>
        <w:rPr>
          <w:rFonts w:hint="eastAsia" w:ascii="新宋体" w:eastAsia="新宋体"/>
          <w:color w:val="auto"/>
        </w:rPr>
        <w:t xml:space="preserve">   不良行为记录情况的扣分，如为联合体投标，则联合体各方均按扣分标准扣分。</w:t>
      </w:r>
    </w:p>
    <w:p>
      <w:pPr>
        <w:pStyle w:val="8"/>
        <w:spacing w:before="105" w:line="242" w:lineRule="auto"/>
        <w:ind w:left="220" w:right="134" w:firstLine="420"/>
        <w:rPr>
          <w:rFonts w:hint="eastAsia" w:ascii="新宋体" w:eastAsia="新宋体"/>
          <w:color w:val="auto"/>
        </w:rPr>
      </w:pPr>
    </w:p>
    <w:p>
      <w:pPr>
        <w:spacing w:before="148"/>
        <w:ind w:left="640"/>
        <w:rPr>
          <w:rFonts w:hint="eastAsia" w:ascii="新宋体" w:eastAsia="新宋体"/>
          <w:color w:val="auto"/>
        </w:rPr>
        <w:sectPr>
          <w:headerReference r:id="rId21" w:type="default"/>
          <w:footerReference r:id="rId22" w:type="default"/>
          <w:pgSz w:w="11900" w:h="16840"/>
          <w:pgMar w:top="1360" w:right="1100" w:bottom="1200" w:left="1220" w:header="109" w:footer="1002" w:gutter="0"/>
          <w:pgNumType w:fmt="decimal"/>
        </w:sectPr>
      </w:pPr>
      <w:r>
        <w:rPr>
          <w:color w:val="auto"/>
        </w:rPr>
        <w:t>评标委员会全体成员签字/日期：</w:t>
      </w:r>
    </w:p>
    <w:p>
      <w:pPr>
        <w:pStyle w:val="32"/>
        <w:ind w:left="0" w:leftChars="0" w:firstLine="0" w:firstLineChars="0"/>
        <w:rPr>
          <w:rFonts w:hint="eastAsia"/>
          <w:color w:val="auto"/>
        </w:rPr>
      </w:pPr>
    </w:p>
    <w:p>
      <w:pPr>
        <w:spacing w:before="67"/>
        <w:ind w:left="100"/>
        <w:rPr>
          <w:color w:val="auto"/>
          <w:sz w:val="24"/>
        </w:rPr>
      </w:pPr>
      <w:bookmarkStart w:id="89" w:name="附表3-10：投标报价评审计分表"/>
      <w:bookmarkEnd w:id="89"/>
    </w:p>
    <w:p>
      <w:pPr>
        <w:spacing w:before="67"/>
        <w:ind w:left="100"/>
        <w:rPr>
          <w:color w:val="auto"/>
          <w:sz w:val="24"/>
        </w:rPr>
      </w:pPr>
      <w:r>
        <w:rPr>
          <w:color w:val="auto"/>
          <w:sz w:val="24"/>
        </w:rPr>
        <w:t>附表3-10：投标报价评审计分表</w:t>
      </w:r>
    </w:p>
    <w:p>
      <w:pPr>
        <w:pStyle w:val="8"/>
        <w:spacing w:before="6"/>
        <w:rPr>
          <w:color w:val="auto"/>
          <w:sz w:val="28"/>
        </w:rPr>
      </w:pPr>
    </w:p>
    <w:p>
      <w:pPr>
        <w:ind w:left="100"/>
        <w:rPr>
          <w:color w:val="auto"/>
        </w:rPr>
      </w:pPr>
      <w:r>
        <w:rPr>
          <w:color w:val="auto"/>
        </w:rPr>
        <w:t xml:space="preserve"> </w:t>
      </w:r>
    </w:p>
    <w:p>
      <w:pPr>
        <w:pStyle w:val="8"/>
        <w:spacing w:before="8"/>
        <w:rPr>
          <w:color w:val="auto"/>
          <w:sz w:val="29"/>
        </w:rPr>
      </w:pPr>
      <w:r>
        <w:rPr>
          <w:color w:val="auto"/>
        </w:rPr>
        <w:br w:type="column"/>
      </w:r>
    </w:p>
    <w:p>
      <w:pPr>
        <w:ind w:left="100"/>
        <w:rPr>
          <w:color w:val="auto"/>
          <w:sz w:val="28"/>
        </w:rPr>
      </w:pPr>
      <w:r>
        <w:rPr>
          <w:color w:val="auto"/>
          <w:sz w:val="28"/>
        </w:rPr>
        <w:t xml:space="preserve">投标报价评审表 </w:t>
      </w:r>
    </w:p>
    <w:p>
      <w:pPr>
        <w:rPr>
          <w:color w:val="auto"/>
          <w:sz w:val="28"/>
        </w:rPr>
        <w:sectPr>
          <w:headerReference r:id="rId23" w:type="default"/>
          <w:footerReference r:id="rId24" w:type="default"/>
          <w:pgSz w:w="11920" w:h="16850"/>
          <w:pgMar w:top="1500" w:right="520" w:bottom="1380" w:left="840" w:header="109" w:footer="1199" w:gutter="0"/>
          <w:cols w:equalWidth="0" w:num="2">
            <w:col w:w="3502" w:space="584"/>
            <w:col w:w="6474"/>
          </w:cols>
        </w:sectPr>
      </w:pPr>
    </w:p>
    <w:tbl>
      <w:tblPr>
        <w:tblStyle w:val="16"/>
        <w:tblW w:w="9394" w:type="dxa"/>
        <w:tblInd w:w="4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8"/>
        <w:gridCol w:w="1395"/>
        <w:gridCol w:w="1613"/>
        <w:gridCol w:w="1652"/>
        <w:gridCol w:w="36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4" w:hRule="atLeast"/>
        </w:trPr>
        <w:tc>
          <w:tcPr>
            <w:tcW w:w="1128" w:type="dxa"/>
            <w:tcBorders>
              <w:bottom w:val="single" w:color="000000" w:sz="4" w:space="0"/>
              <w:right w:val="single" w:color="000000" w:sz="4" w:space="0"/>
            </w:tcBorders>
          </w:tcPr>
          <w:p>
            <w:pPr>
              <w:pStyle w:val="45"/>
              <w:spacing w:before="95"/>
              <w:ind w:left="410" w:right="295"/>
              <w:jc w:val="center"/>
              <w:rPr>
                <w:b/>
                <w:color w:val="auto"/>
                <w:sz w:val="18"/>
              </w:rPr>
            </w:pPr>
            <w:r>
              <w:rPr>
                <w:b/>
                <w:color w:val="auto"/>
                <w:sz w:val="18"/>
              </w:rPr>
              <w:t>序号</w:t>
            </w:r>
            <w:r>
              <w:rPr>
                <w:b/>
                <w:color w:val="auto"/>
                <w:w w:val="99"/>
                <w:sz w:val="18"/>
              </w:rPr>
              <w:t xml:space="preserve"> </w:t>
            </w:r>
          </w:p>
        </w:tc>
        <w:tc>
          <w:tcPr>
            <w:tcW w:w="4660" w:type="dxa"/>
            <w:gridSpan w:val="3"/>
            <w:tcBorders>
              <w:left w:val="single" w:color="000000" w:sz="4" w:space="0"/>
              <w:bottom w:val="single" w:color="000000" w:sz="4" w:space="0"/>
              <w:right w:val="single" w:color="000000" w:sz="4" w:space="0"/>
            </w:tcBorders>
          </w:tcPr>
          <w:p>
            <w:pPr>
              <w:pStyle w:val="45"/>
              <w:spacing w:before="95"/>
              <w:ind w:left="2000" w:right="1887"/>
              <w:jc w:val="center"/>
              <w:rPr>
                <w:b/>
                <w:color w:val="auto"/>
                <w:sz w:val="18"/>
              </w:rPr>
            </w:pPr>
            <w:r>
              <w:rPr>
                <w:b/>
                <w:color w:val="auto"/>
                <w:sz w:val="18"/>
              </w:rPr>
              <w:t>计分方式</w:t>
            </w:r>
            <w:r>
              <w:rPr>
                <w:b/>
                <w:color w:val="auto"/>
                <w:w w:val="99"/>
                <w:sz w:val="18"/>
              </w:rPr>
              <w:t xml:space="preserve"> </w:t>
            </w:r>
          </w:p>
        </w:tc>
        <w:tc>
          <w:tcPr>
            <w:tcW w:w="3606" w:type="dxa"/>
            <w:tcBorders>
              <w:left w:val="single" w:color="000000" w:sz="4" w:space="0"/>
              <w:bottom w:val="single" w:color="000000" w:sz="4" w:space="0"/>
            </w:tcBorders>
          </w:tcPr>
          <w:p>
            <w:pPr>
              <w:pStyle w:val="45"/>
              <w:spacing w:before="95"/>
              <w:ind w:left="199" w:right="86"/>
              <w:jc w:val="center"/>
              <w:rPr>
                <w:b/>
                <w:color w:val="auto"/>
                <w:sz w:val="18"/>
              </w:rPr>
            </w:pPr>
            <w:r>
              <w:rPr>
                <w:b/>
                <w:color w:val="auto"/>
                <w:sz w:val="18"/>
              </w:rPr>
              <w:t>偏差率</w:t>
            </w:r>
            <w:r>
              <w:rPr>
                <w:b/>
                <w:color w:val="auto"/>
                <w:w w:val="99"/>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2" w:hRule="atLeast"/>
        </w:trPr>
        <w:tc>
          <w:tcPr>
            <w:tcW w:w="1128" w:type="dxa"/>
            <w:tcBorders>
              <w:top w:val="single" w:color="000000" w:sz="4" w:space="0"/>
              <w:bottom w:val="single" w:color="000000" w:sz="4" w:space="0"/>
              <w:right w:val="single" w:color="000000" w:sz="4" w:space="0"/>
            </w:tcBorders>
          </w:tcPr>
          <w:p>
            <w:pPr>
              <w:pStyle w:val="45"/>
              <w:rPr>
                <w:color w:val="auto"/>
                <w:sz w:val="23"/>
              </w:rPr>
            </w:pPr>
          </w:p>
          <w:p>
            <w:pPr>
              <w:pStyle w:val="45"/>
              <w:ind w:left="410" w:right="292"/>
              <w:jc w:val="center"/>
              <w:rPr>
                <w:color w:val="auto"/>
                <w:sz w:val="18"/>
              </w:rPr>
            </w:pPr>
            <w:r>
              <w:rPr>
                <w:color w:val="auto"/>
                <w:sz w:val="18"/>
              </w:rPr>
              <w:t xml:space="preserve">1 </w:t>
            </w:r>
          </w:p>
        </w:tc>
        <w:tc>
          <w:tcPr>
            <w:tcW w:w="4660" w:type="dxa"/>
            <w:gridSpan w:val="3"/>
            <w:tcBorders>
              <w:top w:val="single" w:color="000000" w:sz="4" w:space="0"/>
              <w:left w:val="single" w:color="000000" w:sz="4" w:space="0"/>
              <w:bottom w:val="single" w:color="000000" w:sz="4" w:space="0"/>
              <w:right w:val="single" w:color="000000" w:sz="4" w:space="0"/>
            </w:tcBorders>
          </w:tcPr>
          <w:p>
            <w:pPr>
              <w:pStyle w:val="45"/>
              <w:spacing w:before="59" w:line="244" w:lineRule="auto"/>
              <w:ind w:left="14" w:right="491"/>
              <w:rPr>
                <w:color w:val="auto"/>
                <w:sz w:val="18"/>
              </w:rPr>
            </w:pPr>
            <w:r>
              <w:rPr>
                <w:color w:val="auto"/>
                <w:sz w:val="18"/>
              </w:rPr>
              <w:t>偏差率大于0：偏差率从0</w:t>
            </w:r>
            <w:r>
              <w:rPr>
                <w:color w:val="auto"/>
                <w:spacing w:val="-2"/>
                <w:sz w:val="18"/>
              </w:rPr>
              <w:t>开始每递升</w:t>
            </w:r>
            <w:r>
              <w:rPr>
                <w:color w:val="auto"/>
                <w:sz w:val="18"/>
              </w:rPr>
              <w:t>1％减1.5分。 偏差率等于0：报价分为100</w:t>
            </w:r>
            <w:r>
              <w:rPr>
                <w:color w:val="auto"/>
                <w:spacing w:val="-1"/>
                <w:sz w:val="18"/>
              </w:rPr>
              <w:t xml:space="preserve"> 分； </w:t>
            </w:r>
          </w:p>
          <w:p>
            <w:pPr>
              <w:pStyle w:val="45"/>
              <w:spacing w:line="228" w:lineRule="exact"/>
              <w:ind w:left="14"/>
              <w:rPr>
                <w:color w:val="auto"/>
              </w:rPr>
            </w:pPr>
            <w:r>
              <w:rPr>
                <w:color w:val="auto"/>
                <w:sz w:val="18"/>
              </w:rPr>
              <w:t>偏差率小于0：偏差率从0开始每降1％减1分。</w:t>
            </w:r>
            <w:r>
              <w:rPr>
                <w:color w:val="auto"/>
                <w:w w:val="100"/>
                <w:sz w:val="22"/>
              </w:rPr>
              <w:t xml:space="preserve"> </w:t>
            </w:r>
          </w:p>
        </w:tc>
        <w:tc>
          <w:tcPr>
            <w:tcW w:w="3606" w:type="dxa"/>
            <w:tcBorders>
              <w:top w:val="single" w:color="000000" w:sz="4" w:space="0"/>
              <w:left w:val="single" w:color="000000" w:sz="4" w:space="0"/>
              <w:bottom w:val="single" w:color="000000" w:sz="4" w:space="0"/>
            </w:tcBorders>
          </w:tcPr>
          <w:p>
            <w:pPr>
              <w:pStyle w:val="45"/>
              <w:spacing w:before="7"/>
              <w:rPr>
                <w:color w:val="auto"/>
                <w:sz w:val="23"/>
              </w:rPr>
            </w:pPr>
          </w:p>
          <w:p>
            <w:pPr>
              <w:pStyle w:val="45"/>
              <w:ind w:left="219" w:right="86"/>
              <w:jc w:val="center"/>
              <w:rPr>
                <w:color w:val="auto"/>
              </w:rPr>
            </w:pPr>
            <w:r>
              <w:rPr>
                <w:color w:val="auto"/>
                <w:sz w:val="18"/>
              </w:rPr>
              <w:t>L=┃(投标报价-基准价)/基准价┃×100%</w:t>
            </w: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394" w:type="dxa"/>
            <w:gridSpan w:val="5"/>
            <w:tcBorders>
              <w:top w:val="single" w:color="000000" w:sz="4" w:space="0"/>
              <w:bottom w:val="single" w:color="000000" w:sz="4" w:space="0"/>
            </w:tcBorders>
          </w:tcPr>
          <w:p>
            <w:pPr>
              <w:pStyle w:val="45"/>
              <w:spacing w:before="64"/>
              <w:ind w:left="733"/>
              <w:rPr>
                <w:color w:val="auto"/>
              </w:rPr>
            </w:pPr>
            <w:r>
              <w:rPr>
                <w:color w:val="auto"/>
                <w:sz w:val="18"/>
              </w:rPr>
              <w:t xml:space="preserve">  基准价=</w:t>
            </w: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128" w:type="dxa"/>
            <w:tcBorders>
              <w:top w:val="single" w:color="000000" w:sz="4" w:space="0"/>
              <w:bottom w:val="single" w:color="000000" w:sz="4" w:space="0"/>
              <w:right w:val="single" w:color="000000" w:sz="4" w:space="0"/>
            </w:tcBorders>
          </w:tcPr>
          <w:p>
            <w:pPr>
              <w:pStyle w:val="45"/>
              <w:spacing w:before="103"/>
              <w:ind w:left="410" w:right="292"/>
              <w:jc w:val="center"/>
              <w:rPr>
                <w:color w:val="auto"/>
                <w:sz w:val="18"/>
              </w:rPr>
            </w:pPr>
            <w:r>
              <w:rPr>
                <w:color w:val="auto"/>
                <w:sz w:val="18"/>
              </w:rPr>
              <w:t xml:space="preserve">2 </w:t>
            </w:r>
          </w:p>
        </w:tc>
        <w:tc>
          <w:tcPr>
            <w:tcW w:w="1395" w:type="dxa"/>
            <w:tcBorders>
              <w:top w:val="single" w:color="000000" w:sz="4" w:space="0"/>
              <w:left w:val="single" w:color="000000" w:sz="4" w:space="0"/>
              <w:bottom w:val="single" w:color="000000" w:sz="4" w:space="0"/>
              <w:right w:val="single" w:color="000000" w:sz="4" w:space="0"/>
            </w:tcBorders>
          </w:tcPr>
          <w:p>
            <w:pPr>
              <w:pStyle w:val="45"/>
              <w:spacing w:before="103"/>
              <w:ind w:left="194"/>
              <w:rPr>
                <w:color w:val="auto"/>
                <w:sz w:val="18"/>
              </w:rPr>
            </w:pPr>
            <w:r>
              <w:rPr>
                <w:color w:val="auto"/>
                <w:sz w:val="18"/>
              </w:rPr>
              <w:t xml:space="preserve">投标人名称 </w:t>
            </w:r>
          </w:p>
        </w:tc>
        <w:tc>
          <w:tcPr>
            <w:tcW w:w="1613" w:type="dxa"/>
            <w:tcBorders>
              <w:top w:val="single" w:color="000000" w:sz="4" w:space="0"/>
              <w:left w:val="single" w:color="000000" w:sz="4" w:space="0"/>
              <w:bottom w:val="single" w:color="000000" w:sz="4" w:space="0"/>
              <w:right w:val="single" w:color="000000" w:sz="4" w:space="0"/>
            </w:tcBorders>
          </w:tcPr>
          <w:p>
            <w:pPr>
              <w:pStyle w:val="45"/>
              <w:spacing w:before="103"/>
              <w:ind w:left="480" w:right="362"/>
              <w:jc w:val="center"/>
              <w:rPr>
                <w:color w:val="auto"/>
                <w:sz w:val="18"/>
              </w:rPr>
            </w:pPr>
            <w:r>
              <w:rPr>
                <w:color w:val="auto"/>
                <w:sz w:val="18"/>
              </w:rPr>
              <w:t xml:space="preserve">投标报价 </w:t>
            </w:r>
          </w:p>
        </w:tc>
        <w:tc>
          <w:tcPr>
            <w:tcW w:w="1652" w:type="dxa"/>
            <w:tcBorders>
              <w:top w:val="single" w:color="000000" w:sz="4" w:space="0"/>
              <w:left w:val="single" w:color="000000" w:sz="4" w:space="0"/>
              <w:bottom w:val="single" w:color="000000" w:sz="4" w:space="0"/>
              <w:right w:val="single" w:color="000000" w:sz="4" w:space="0"/>
            </w:tcBorders>
          </w:tcPr>
          <w:p>
            <w:pPr>
              <w:pStyle w:val="45"/>
              <w:spacing w:before="103"/>
              <w:ind w:left="588" w:right="473"/>
              <w:jc w:val="center"/>
              <w:rPr>
                <w:color w:val="auto"/>
                <w:sz w:val="18"/>
              </w:rPr>
            </w:pPr>
            <w:r>
              <w:rPr>
                <w:color w:val="auto"/>
                <w:sz w:val="18"/>
              </w:rPr>
              <w:t xml:space="preserve">偏差率 </w:t>
            </w:r>
          </w:p>
        </w:tc>
        <w:tc>
          <w:tcPr>
            <w:tcW w:w="3606" w:type="dxa"/>
            <w:tcBorders>
              <w:top w:val="single" w:color="000000" w:sz="4" w:space="0"/>
              <w:left w:val="single" w:color="000000" w:sz="4" w:space="0"/>
              <w:bottom w:val="single" w:color="000000" w:sz="4" w:space="0"/>
            </w:tcBorders>
          </w:tcPr>
          <w:p>
            <w:pPr>
              <w:pStyle w:val="45"/>
              <w:spacing w:before="103"/>
              <w:ind w:left="199" w:right="86"/>
              <w:jc w:val="center"/>
              <w:rPr>
                <w:color w:val="auto"/>
                <w:sz w:val="18"/>
              </w:rPr>
            </w:pPr>
            <w:r>
              <w:rPr>
                <w:color w:val="auto"/>
                <w:sz w:val="18"/>
              </w:rPr>
              <w:t xml:space="preserve">得分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128" w:type="dxa"/>
            <w:tcBorders>
              <w:top w:val="single" w:color="000000" w:sz="4" w:space="0"/>
              <w:bottom w:val="single" w:color="000000" w:sz="4" w:space="0"/>
              <w:right w:val="single" w:color="000000" w:sz="4" w:space="0"/>
            </w:tcBorders>
          </w:tcPr>
          <w:p>
            <w:pPr>
              <w:pStyle w:val="45"/>
              <w:spacing w:before="103"/>
              <w:ind w:left="410" w:right="292"/>
              <w:jc w:val="center"/>
              <w:rPr>
                <w:color w:val="auto"/>
                <w:sz w:val="18"/>
              </w:rPr>
            </w:pPr>
            <w:r>
              <w:rPr>
                <w:color w:val="auto"/>
                <w:sz w:val="18"/>
              </w:rPr>
              <w:t xml:space="preserve">3 </w:t>
            </w:r>
          </w:p>
        </w:tc>
        <w:tc>
          <w:tcPr>
            <w:tcW w:w="1395" w:type="dxa"/>
            <w:tcBorders>
              <w:top w:val="single" w:color="000000" w:sz="4" w:space="0"/>
              <w:left w:val="single" w:color="000000" w:sz="4" w:space="0"/>
              <w:bottom w:val="single" w:color="000000" w:sz="4" w:space="0"/>
              <w:right w:val="single" w:color="000000" w:sz="4" w:space="0"/>
            </w:tcBorders>
          </w:tcPr>
          <w:p>
            <w:pPr>
              <w:pStyle w:val="45"/>
              <w:spacing w:before="75"/>
              <w:ind w:left="14"/>
              <w:rPr>
                <w:color w:val="auto"/>
              </w:rPr>
            </w:pPr>
            <w:r>
              <w:rPr>
                <w:color w:val="auto"/>
              </w:rPr>
              <w:t xml:space="preserve"> </w:t>
            </w:r>
          </w:p>
        </w:tc>
        <w:tc>
          <w:tcPr>
            <w:tcW w:w="1613" w:type="dxa"/>
            <w:tcBorders>
              <w:top w:val="single" w:color="000000" w:sz="4" w:space="0"/>
              <w:left w:val="single" w:color="000000" w:sz="4" w:space="0"/>
              <w:bottom w:val="single" w:color="000000" w:sz="4" w:space="0"/>
              <w:right w:val="single" w:color="000000" w:sz="4" w:space="0"/>
            </w:tcBorders>
          </w:tcPr>
          <w:p>
            <w:pPr>
              <w:pStyle w:val="45"/>
              <w:spacing w:before="75"/>
              <w:ind w:left="138"/>
              <w:jc w:val="center"/>
              <w:rPr>
                <w:color w:val="auto"/>
              </w:rPr>
            </w:pPr>
            <w:r>
              <w:rPr>
                <w:color w:val="auto"/>
              </w:rPr>
              <w:t xml:space="preserve"> </w:t>
            </w:r>
          </w:p>
        </w:tc>
        <w:tc>
          <w:tcPr>
            <w:tcW w:w="1652" w:type="dxa"/>
            <w:tcBorders>
              <w:top w:val="single" w:color="000000" w:sz="4" w:space="0"/>
              <w:left w:val="single" w:color="000000" w:sz="4" w:space="0"/>
              <w:bottom w:val="single" w:color="000000" w:sz="4" w:space="0"/>
              <w:right w:val="single" w:color="000000" w:sz="4" w:space="0"/>
            </w:tcBorders>
          </w:tcPr>
          <w:p>
            <w:pPr>
              <w:pStyle w:val="45"/>
              <w:spacing w:before="75"/>
              <w:ind w:left="133"/>
              <w:jc w:val="center"/>
              <w:rPr>
                <w:color w:val="auto"/>
              </w:rPr>
            </w:pPr>
            <w:r>
              <w:rPr>
                <w:color w:val="auto"/>
              </w:rPr>
              <w:t xml:space="preserve"> </w:t>
            </w:r>
          </w:p>
        </w:tc>
        <w:tc>
          <w:tcPr>
            <w:tcW w:w="3606" w:type="dxa"/>
            <w:tcBorders>
              <w:top w:val="single" w:color="000000" w:sz="4" w:space="0"/>
              <w:left w:val="single" w:color="000000" w:sz="4" w:space="0"/>
              <w:bottom w:val="single" w:color="000000" w:sz="4" w:space="0"/>
            </w:tcBorders>
          </w:tcPr>
          <w:p>
            <w:pPr>
              <w:pStyle w:val="45"/>
              <w:spacing w:before="75"/>
              <w:ind w:left="133"/>
              <w:jc w:val="center"/>
              <w:rPr>
                <w:color w:val="auto"/>
              </w:rPr>
            </w:pP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128" w:type="dxa"/>
            <w:tcBorders>
              <w:top w:val="single" w:color="000000" w:sz="4" w:space="0"/>
              <w:bottom w:val="single" w:color="000000" w:sz="4" w:space="0"/>
              <w:right w:val="single" w:color="000000" w:sz="4" w:space="0"/>
            </w:tcBorders>
          </w:tcPr>
          <w:p>
            <w:pPr>
              <w:pStyle w:val="45"/>
              <w:spacing w:before="103"/>
              <w:ind w:left="410" w:right="292"/>
              <w:jc w:val="center"/>
              <w:rPr>
                <w:color w:val="auto"/>
                <w:sz w:val="18"/>
              </w:rPr>
            </w:pPr>
            <w:r>
              <w:rPr>
                <w:color w:val="auto"/>
                <w:sz w:val="18"/>
              </w:rPr>
              <w:t xml:space="preserve">4 </w:t>
            </w:r>
          </w:p>
        </w:tc>
        <w:tc>
          <w:tcPr>
            <w:tcW w:w="1395" w:type="dxa"/>
            <w:tcBorders>
              <w:top w:val="single" w:color="000000" w:sz="4" w:space="0"/>
              <w:left w:val="single" w:color="000000" w:sz="4" w:space="0"/>
              <w:bottom w:val="single" w:color="000000" w:sz="4" w:space="0"/>
              <w:right w:val="single" w:color="000000" w:sz="4" w:space="0"/>
            </w:tcBorders>
          </w:tcPr>
          <w:p>
            <w:pPr>
              <w:pStyle w:val="45"/>
              <w:spacing w:before="77"/>
              <w:ind w:left="14"/>
              <w:rPr>
                <w:color w:val="auto"/>
              </w:rPr>
            </w:pPr>
            <w:r>
              <w:rPr>
                <w:color w:val="auto"/>
              </w:rPr>
              <w:t xml:space="preserve"> </w:t>
            </w:r>
          </w:p>
        </w:tc>
        <w:tc>
          <w:tcPr>
            <w:tcW w:w="1613" w:type="dxa"/>
            <w:tcBorders>
              <w:top w:val="single" w:color="000000" w:sz="4" w:space="0"/>
              <w:left w:val="single" w:color="000000" w:sz="4" w:space="0"/>
              <w:bottom w:val="single" w:color="000000" w:sz="4" w:space="0"/>
              <w:right w:val="single" w:color="000000" w:sz="4" w:space="0"/>
            </w:tcBorders>
          </w:tcPr>
          <w:p>
            <w:pPr>
              <w:pStyle w:val="45"/>
              <w:spacing w:before="77"/>
              <w:ind w:left="138"/>
              <w:jc w:val="center"/>
              <w:rPr>
                <w:color w:val="auto"/>
              </w:rPr>
            </w:pPr>
            <w:r>
              <w:rPr>
                <w:color w:val="auto"/>
              </w:rPr>
              <w:t xml:space="preserve"> </w:t>
            </w:r>
          </w:p>
        </w:tc>
        <w:tc>
          <w:tcPr>
            <w:tcW w:w="1652" w:type="dxa"/>
            <w:tcBorders>
              <w:top w:val="single" w:color="000000" w:sz="4" w:space="0"/>
              <w:left w:val="single" w:color="000000" w:sz="4" w:space="0"/>
              <w:bottom w:val="single" w:color="000000" w:sz="4" w:space="0"/>
              <w:right w:val="single" w:color="000000" w:sz="4" w:space="0"/>
            </w:tcBorders>
          </w:tcPr>
          <w:p>
            <w:pPr>
              <w:pStyle w:val="45"/>
              <w:spacing w:before="77"/>
              <w:ind w:left="133"/>
              <w:jc w:val="center"/>
              <w:rPr>
                <w:color w:val="auto"/>
              </w:rPr>
            </w:pPr>
            <w:r>
              <w:rPr>
                <w:color w:val="auto"/>
              </w:rPr>
              <w:t xml:space="preserve"> </w:t>
            </w:r>
          </w:p>
        </w:tc>
        <w:tc>
          <w:tcPr>
            <w:tcW w:w="3606" w:type="dxa"/>
            <w:tcBorders>
              <w:top w:val="single" w:color="000000" w:sz="4" w:space="0"/>
              <w:left w:val="single" w:color="000000" w:sz="4" w:space="0"/>
              <w:bottom w:val="single" w:color="000000" w:sz="4" w:space="0"/>
            </w:tcBorders>
          </w:tcPr>
          <w:p>
            <w:pPr>
              <w:pStyle w:val="45"/>
              <w:spacing w:before="77"/>
              <w:ind w:left="133"/>
              <w:jc w:val="center"/>
              <w:rPr>
                <w:color w:val="auto"/>
              </w:rPr>
            </w:pP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128" w:type="dxa"/>
            <w:tcBorders>
              <w:top w:val="single" w:color="000000" w:sz="4" w:space="0"/>
              <w:bottom w:val="single" w:color="000000" w:sz="4" w:space="0"/>
              <w:right w:val="single" w:color="000000" w:sz="4" w:space="0"/>
            </w:tcBorders>
          </w:tcPr>
          <w:p>
            <w:pPr>
              <w:pStyle w:val="45"/>
              <w:spacing w:before="103"/>
              <w:ind w:left="410" w:right="292"/>
              <w:jc w:val="center"/>
              <w:rPr>
                <w:color w:val="auto"/>
                <w:sz w:val="18"/>
              </w:rPr>
            </w:pPr>
            <w:r>
              <w:rPr>
                <w:color w:val="auto"/>
                <w:sz w:val="18"/>
              </w:rPr>
              <w:t xml:space="preserve">5 </w:t>
            </w:r>
          </w:p>
        </w:tc>
        <w:tc>
          <w:tcPr>
            <w:tcW w:w="1395" w:type="dxa"/>
            <w:tcBorders>
              <w:top w:val="single" w:color="000000" w:sz="4" w:space="0"/>
              <w:left w:val="single" w:color="000000" w:sz="4" w:space="0"/>
              <w:bottom w:val="single" w:color="000000" w:sz="4" w:space="0"/>
              <w:right w:val="single" w:color="000000" w:sz="4" w:space="0"/>
            </w:tcBorders>
          </w:tcPr>
          <w:p>
            <w:pPr>
              <w:pStyle w:val="45"/>
              <w:spacing w:before="77"/>
              <w:ind w:left="14"/>
              <w:rPr>
                <w:color w:val="auto"/>
              </w:rPr>
            </w:pPr>
            <w:r>
              <w:rPr>
                <w:color w:val="auto"/>
              </w:rPr>
              <w:t xml:space="preserve"> </w:t>
            </w:r>
          </w:p>
        </w:tc>
        <w:tc>
          <w:tcPr>
            <w:tcW w:w="1613" w:type="dxa"/>
            <w:tcBorders>
              <w:top w:val="single" w:color="000000" w:sz="4" w:space="0"/>
              <w:left w:val="single" w:color="000000" w:sz="4" w:space="0"/>
              <w:bottom w:val="single" w:color="000000" w:sz="4" w:space="0"/>
              <w:right w:val="single" w:color="000000" w:sz="4" w:space="0"/>
            </w:tcBorders>
          </w:tcPr>
          <w:p>
            <w:pPr>
              <w:pStyle w:val="45"/>
              <w:spacing w:before="77"/>
              <w:ind w:left="138"/>
              <w:jc w:val="center"/>
              <w:rPr>
                <w:color w:val="auto"/>
              </w:rPr>
            </w:pPr>
            <w:r>
              <w:rPr>
                <w:color w:val="auto"/>
              </w:rPr>
              <w:t xml:space="preserve"> </w:t>
            </w:r>
          </w:p>
        </w:tc>
        <w:tc>
          <w:tcPr>
            <w:tcW w:w="1652" w:type="dxa"/>
            <w:tcBorders>
              <w:top w:val="single" w:color="000000" w:sz="4" w:space="0"/>
              <w:left w:val="single" w:color="000000" w:sz="4" w:space="0"/>
              <w:bottom w:val="single" w:color="000000" w:sz="4" w:space="0"/>
              <w:right w:val="single" w:color="000000" w:sz="4" w:space="0"/>
            </w:tcBorders>
          </w:tcPr>
          <w:p>
            <w:pPr>
              <w:pStyle w:val="45"/>
              <w:spacing w:before="77"/>
              <w:ind w:left="133"/>
              <w:jc w:val="center"/>
              <w:rPr>
                <w:color w:val="auto"/>
              </w:rPr>
            </w:pPr>
            <w:r>
              <w:rPr>
                <w:color w:val="auto"/>
              </w:rPr>
              <w:t xml:space="preserve"> </w:t>
            </w:r>
          </w:p>
        </w:tc>
        <w:tc>
          <w:tcPr>
            <w:tcW w:w="3606" w:type="dxa"/>
            <w:tcBorders>
              <w:top w:val="single" w:color="000000" w:sz="4" w:space="0"/>
              <w:left w:val="single" w:color="000000" w:sz="4" w:space="0"/>
              <w:bottom w:val="single" w:color="000000" w:sz="4" w:space="0"/>
            </w:tcBorders>
          </w:tcPr>
          <w:p>
            <w:pPr>
              <w:pStyle w:val="45"/>
              <w:spacing w:before="77"/>
              <w:ind w:left="133"/>
              <w:jc w:val="center"/>
              <w:rPr>
                <w:color w:val="auto"/>
              </w:rPr>
            </w:pP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128" w:type="dxa"/>
            <w:tcBorders>
              <w:top w:val="single" w:color="000000" w:sz="4" w:space="0"/>
              <w:right w:val="single" w:color="000000" w:sz="4" w:space="0"/>
            </w:tcBorders>
          </w:tcPr>
          <w:p>
            <w:pPr>
              <w:pStyle w:val="45"/>
              <w:spacing w:before="75"/>
              <w:ind w:left="410" w:right="272"/>
              <w:jc w:val="center"/>
              <w:rPr>
                <w:color w:val="auto"/>
              </w:rPr>
            </w:pPr>
            <w:r>
              <w:rPr>
                <w:color w:val="auto"/>
              </w:rPr>
              <w:t xml:space="preserve">... </w:t>
            </w:r>
          </w:p>
        </w:tc>
        <w:tc>
          <w:tcPr>
            <w:tcW w:w="1395" w:type="dxa"/>
            <w:tcBorders>
              <w:top w:val="single" w:color="000000" w:sz="4" w:space="0"/>
              <w:left w:val="single" w:color="000000" w:sz="4" w:space="0"/>
              <w:right w:val="single" w:color="000000" w:sz="4" w:space="0"/>
            </w:tcBorders>
          </w:tcPr>
          <w:p>
            <w:pPr>
              <w:pStyle w:val="45"/>
              <w:spacing w:before="75"/>
              <w:ind w:left="14"/>
              <w:rPr>
                <w:color w:val="auto"/>
              </w:rPr>
            </w:pPr>
            <w:r>
              <w:rPr>
                <w:color w:val="auto"/>
              </w:rPr>
              <w:t xml:space="preserve"> </w:t>
            </w:r>
          </w:p>
        </w:tc>
        <w:tc>
          <w:tcPr>
            <w:tcW w:w="1613" w:type="dxa"/>
            <w:tcBorders>
              <w:top w:val="single" w:color="000000" w:sz="4" w:space="0"/>
              <w:left w:val="single" w:color="000000" w:sz="4" w:space="0"/>
              <w:right w:val="single" w:color="000000" w:sz="4" w:space="0"/>
            </w:tcBorders>
          </w:tcPr>
          <w:p>
            <w:pPr>
              <w:pStyle w:val="45"/>
              <w:spacing w:before="75"/>
              <w:ind w:left="138"/>
              <w:jc w:val="center"/>
              <w:rPr>
                <w:color w:val="auto"/>
              </w:rPr>
            </w:pPr>
            <w:r>
              <w:rPr>
                <w:color w:val="auto"/>
              </w:rPr>
              <w:t xml:space="preserve"> </w:t>
            </w:r>
          </w:p>
        </w:tc>
        <w:tc>
          <w:tcPr>
            <w:tcW w:w="1652" w:type="dxa"/>
            <w:tcBorders>
              <w:top w:val="single" w:color="000000" w:sz="4" w:space="0"/>
              <w:left w:val="single" w:color="000000" w:sz="4" w:space="0"/>
              <w:right w:val="single" w:color="000000" w:sz="4" w:space="0"/>
            </w:tcBorders>
          </w:tcPr>
          <w:p>
            <w:pPr>
              <w:pStyle w:val="45"/>
              <w:spacing w:before="75"/>
              <w:ind w:left="133"/>
              <w:jc w:val="center"/>
              <w:rPr>
                <w:color w:val="auto"/>
              </w:rPr>
            </w:pPr>
            <w:r>
              <w:rPr>
                <w:color w:val="auto"/>
              </w:rPr>
              <w:t xml:space="preserve"> </w:t>
            </w:r>
          </w:p>
        </w:tc>
        <w:tc>
          <w:tcPr>
            <w:tcW w:w="3606" w:type="dxa"/>
            <w:tcBorders>
              <w:top w:val="single" w:color="000000" w:sz="4" w:space="0"/>
              <w:left w:val="single" w:color="000000" w:sz="4" w:space="0"/>
            </w:tcBorders>
          </w:tcPr>
          <w:p>
            <w:pPr>
              <w:pStyle w:val="45"/>
              <w:spacing w:before="75"/>
              <w:ind w:left="133"/>
              <w:jc w:val="center"/>
              <w:rPr>
                <w:color w:val="auto"/>
              </w:rPr>
            </w:pPr>
            <w:r>
              <w:rPr>
                <w:color w:val="auto"/>
              </w:rPr>
              <w:t xml:space="preserve"> </w:t>
            </w:r>
          </w:p>
        </w:tc>
      </w:tr>
    </w:tbl>
    <w:p>
      <w:pPr>
        <w:pStyle w:val="8"/>
        <w:spacing w:before="4"/>
        <w:rPr>
          <w:color w:val="auto"/>
          <w:sz w:val="23"/>
        </w:rPr>
      </w:pPr>
    </w:p>
    <w:p>
      <w:pPr>
        <w:spacing w:before="70"/>
        <w:ind w:left="540"/>
        <w:rPr>
          <w:color w:val="auto"/>
        </w:rPr>
      </w:pPr>
      <w:r>
        <w:rPr>
          <w:color w:val="auto"/>
        </w:rPr>
        <w:t xml:space="preserve">备注： </w:t>
      </w:r>
    </w:p>
    <w:p>
      <w:pPr>
        <w:pStyle w:val="8"/>
        <w:spacing w:before="115"/>
        <w:ind w:left="100"/>
        <w:rPr>
          <w:color w:val="auto"/>
        </w:rPr>
      </w:pPr>
      <w:r>
        <w:rPr>
          <w:color w:val="auto"/>
        </w:rPr>
        <w:t xml:space="preserve">    1．投标报价得分，基本分100分。 </w:t>
      </w:r>
    </w:p>
    <w:p>
      <w:pPr>
        <w:pStyle w:val="8"/>
        <w:spacing w:before="131" w:line="357" w:lineRule="auto"/>
        <w:ind w:left="100" w:right="117"/>
        <w:rPr>
          <w:color w:val="auto"/>
        </w:rPr>
      </w:pPr>
      <w:r>
        <w:rPr>
          <w:color w:val="auto"/>
        </w:rPr>
        <w:t xml:space="preserve">    2．除经初步评审为不合格投标人（包括投标报价文件无效）的和被认定为最终投标报价低于其成本的外， 其他的最终投标报价均应按规定进入最终投标价的算术平均。 </w:t>
      </w:r>
    </w:p>
    <w:p>
      <w:pPr>
        <w:pStyle w:val="8"/>
        <w:spacing w:line="357" w:lineRule="auto"/>
        <w:ind w:left="521" w:right="787" w:hanging="421"/>
        <w:rPr>
          <w:color w:val="auto"/>
        </w:rPr>
      </w:pPr>
      <w:r>
        <w:rPr>
          <w:color w:val="auto"/>
        </w:rPr>
        <w:t xml:space="preserve">    3</w:t>
      </w:r>
      <w:r>
        <w:rPr>
          <w:color w:val="auto"/>
          <w:spacing w:val="-3"/>
        </w:rPr>
        <w:t>．符合招标控制价≥最终投标价≥</w:t>
      </w:r>
      <w:r>
        <w:rPr>
          <w:color w:val="auto"/>
        </w:rPr>
        <w:t>0.9</w:t>
      </w:r>
      <w:r>
        <w:rPr>
          <w:color w:val="auto"/>
          <w:spacing w:val="-3"/>
        </w:rPr>
        <w:t xml:space="preserve">×最终投标价的算术平均值的最终投标价进入基准价计算。4．基准价公式：基准价= </w:t>
      </w:r>
      <w:r>
        <w:rPr>
          <w:color w:val="auto"/>
        </w:rPr>
        <w:t xml:space="preserve">（A1+A2+……＋An）/N </w:t>
      </w:r>
    </w:p>
    <w:p>
      <w:pPr>
        <w:pStyle w:val="8"/>
        <w:spacing w:line="269" w:lineRule="exact"/>
        <w:ind w:left="521"/>
        <w:rPr>
          <w:color w:val="auto"/>
        </w:rPr>
      </w:pPr>
      <w:r>
        <w:rPr>
          <w:color w:val="auto"/>
        </w:rPr>
        <w:t xml:space="preserve">A1、A2、……、An为进入基准价计算的最终投标价; N为进入基准价计算的最终投标价的个数。 </w:t>
      </w:r>
    </w:p>
    <w:p>
      <w:pPr>
        <w:pStyle w:val="8"/>
        <w:spacing w:before="127" w:line="357" w:lineRule="auto"/>
        <w:ind w:left="100" w:right="469"/>
        <w:rPr>
          <w:color w:val="auto"/>
        </w:rPr>
      </w:pPr>
      <w:r>
        <w:rPr>
          <w:color w:val="auto"/>
        </w:rPr>
        <w:t xml:space="preserve">    5．最终投标价以人民币万元为单位，计算保留至小数点后2位（百分比亦然），小数点后第3位采取4舍5 入。 </w:t>
      </w:r>
    </w:p>
    <w:p>
      <w:pPr>
        <w:spacing w:line="272" w:lineRule="exact"/>
        <w:ind w:left="540"/>
        <w:rPr>
          <w:color w:val="auto"/>
        </w:rPr>
      </w:pPr>
      <w:r>
        <w:rPr>
          <w:color w:val="auto"/>
        </w:rPr>
        <w:t xml:space="preserve"> </w:t>
      </w:r>
    </w:p>
    <w:p>
      <w:pPr>
        <w:spacing w:before="18"/>
        <w:ind w:left="100"/>
        <w:rPr>
          <w:color w:val="auto"/>
          <w:sz w:val="18"/>
        </w:rPr>
      </w:pPr>
      <w:r>
        <w:rPr>
          <w:color w:val="auto"/>
          <w:sz w:val="18"/>
        </w:rPr>
        <w:t xml:space="preserve"> </w:t>
      </w:r>
    </w:p>
    <w:p>
      <w:pPr>
        <w:spacing w:before="3"/>
        <w:ind w:left="100"/>
        <w:rPr>
          <w:color w:val="auto"/>
        </w:rPr>
      </w:pPr>
      <w:r>
        <w:rPr>
          <w:color w:val="auto"/>
        </w:rPr>
        <w:t xml:space="preserve">评标委员会全体成员签字/日期。 </w:t>
      </w:r>
    </w:p>
    <w:p>
      <w:pPr>
        <w:rPr>
          <w:color w:val="auto"/>
        </w:rPr>
        <w:sectPr>
          <w:type w:val="continuous"/>
          <w:pgSz w:w="11920" w:h="16850"/>
          <w:pgMar w:top="1580" w:right="520" w:bottom="280" w:left="840" w:header="720" w:footer="720" w:gutter="0"/>
          <w:cols w:space="720" w:num="1"/>
        </w:sectPr>
      </w:pPr>
    </w:p>
    <w:p>
      <w:pPr>
        <w:spacing w:before="67"/>
        <w:ind w:left="701"/>
        <w:rPr>
          <w:color w:val="auto"/>
          <w:sz w:val="24"/>
        </w:rPr>
      </w:pPr>
    </w:p>
    <w:p>
      <w:pPr>
        <w:spacing w:before="67"/>
        <w:ind w:left="701"/>
        <w:rPr>
          <w:b/>
          <w:color w:val="auto"/>
        </w:rPr>
      </w:pPr>
      <w:r>
        <w:rPr>
          <w:color w:val="auto"/>
          <w:sz w:val="24"/>
        </w:rPr>
        <w:t>附表3-11：分值构成表</w:t>
      </w:r>
      <w:r>
        <w:rPr>
          <w:b/>
          <w:color w:val="auto"/>
          <w:w w:val="99"/>
        </w:rPr>
        <w:t xml:space="preserve"> </w:t>
      </w:r>
    </w:p>
    <w:p>
      <w:pPr>
        <w:pStyle w:val="8"/>
        <w:spacing w:before="8"/>
        <w:rPr>
          <w:b/>
          <w:color w:val="auto"/>
          <w:sz w:val="41"/>
        </w:rPr>
      </w:pPr>
      <w:r>
        <w:rPr>
          <w:color w:val="auto"/>
        </w:rPr>
        <w:br w:type="column"/>
      </w:r>
    </w:p>
    <w:p>
      <w:pPr>
        <w:ind w:left="701"/>
        <w:rPr>
          <w:color w:val="auto"/>
          <w:sz w:val="28"/>
        </w:rPr>
      </w:pPr>
    </w:p>
    <w:p>
      <w:pPr>
        <w:ind w:left="701"/>
        <w:rPr>
          <w:color w:val="auto"/>
        </w:rPr>
      </w:pPr>
      <w:r>
        <w:rPr>
          <w:color w:val="auto"/>
          <w:sz w:val="28"/>
        </w:rPr>
        <w:t>分值构成表</w:t>
      </w:r>
      <w:r>
        <w:rPr>
          <w:color w:val="auto"/>
        </w:rPr>
        <w:t xml:space="preserve"> </w:t>
      </w:r>
    </w:p>
    <w:p>
      <w:pPr>
        <w:rPr>
          <w:color w:val="auto"/>
        </w:rPr>
        <w:sectPr>
          <w:pgSz w:w="11920" w:h="16850"/>
          <w:pgMar w:top="1500" w:right="520" w:bottom="1500" w:left="840" w:header="109" w:footer="1199" w:gutter="0"/>
          <w:cols w:equalWidth="0" w:num="2">
            <w:col w:w="3253" w:space="792"/>
            <w:col w:w="6515"/>
          </w:cols>
        </w:sectPr>
      </w:pPr>
    </w:p>
    <w:p>
      <w:pPr>
        <w:pStyle w:val="8"/>
        <w:spacing w:before="8"/>
        <w:rPr>
          <w:color w:val="auto"/>
          <w:sz w:val="14"/>
        </w:rPr>
      </w:pPr>
    </w:p>
    <w:p>
      <w:pPr>
        <w:pStyle w:val="8"/>
        <w:spacing w:before="8"/>
        <w:rPr>
          <w:color w:val="auto"/>
          <w:sz w:val="14"/>
        </w:rPr>
      </w:pPr>
    </w:p>
    <w:tbl>
      <w:tblPr>
        <w:tblStyle w:val="16"/>
        <w:tblW w:w="8664" w:type="dxa"/>
        <w:tblInd w:w="8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68"/>
        <w:gridCol w:w="4499"/>
        <w:gridCol w:w="24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2" w:hRule="atLeast"/>
        </w:trPr>
        <w:tc>
          <w:tcPr>
            <w:tcW w:w="1668" w:type="dxa"/>
            <w:tcBorders>
              <w:bottom w:val="single" w:color="000000" w:sz="4" w:space="0"/>
              <w:right w:val="single" w:color="000000" w:sz="4" w:space="0"/>
            </w:tcBorders>
          </w:tcPr>
          <w:p>
            <w:pPr>
              <w:pStyle w:val="45"/>
              <w:spacing w:before="192"/>
              <w:ind w:left="646" w:right="522"/>
              <w:jc w:val="center"/>
              <w:rPr>
                <w:color w:val="auto"/>
              </w:rPr>
            </w:pPr>
            <w:r>
              <w:rPr>
                <w:color w:val="auto"/>
              </w:rPr>
              <w:t xml:space="preserve">序号 </w:t>
            </w:r>
          </w:p>
        </w:tc>
        <w:tc>
          <w:tcPr>
            <w:tcW w:w="4499" w:type="dxa"/>
            <w:tcBorders>
              <w:left w:val="single" w:color="000000" w:sz="4" w:space="0"/>
              <w:bottom w:val="single" w:color="000000" w:sz="4" w:space="0"/>
              <w:right w:val="single" w:color="000000" w:sz="4" w:space="0"/>
            </w:tcBorders>
          </w:tcPr>
          <w:p>
            <w:pPr>
              <w:pStyle w:val="45"/>
              <w:spacing w:before="192"/>
              <w:ind w:left="531" w:right="395"/>
              <w:jc w:val="center"/>
              <w:rPr>
                <w:color w:val="auto"/>
              </w:rPr>
            </w:pPr>
            <w:r>
              <w:rPr>
                <w:color w:val="auto"/>
              </w:rPr>
              <w:t xml:space="preserve">项目 </w:t>
            </w:r>
          </w:p>
        </w:tc>
        <w:tc>
          <w:tcPr>
            <w:tcW w:w="2497" w:type="dxa"/>
            <w:tcBorders>
              <w:left w:val="single" w:color="000000" w:sz="4" w:space="0"/>
              <w:bottom w:val="single" w:color="000000" w:sz="4" w:space="0"/>
            </w:tcBorders>
          </w:tcPr>
          <w:p>
            <w:pPr>
              <w:pStyle w:val="45"/>
              <w:spacing w:before="192"/>
              <w:ind w:right="891"/>
              <w:jc w:val="right"/>
              <w:rPr>
                <w:color w:val="auto"/>
              </w:rPr>
            </w:pPr>
            <w:r>
              <w:rPr>
                <w:color w:val="auto"/>
              </w:rPr>
              <w:t xml:space="preserve">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6" w:hRule="atLeast"/>
        </w:trPr>
        <w:tc>
          <w:tcPr>
            <w:tcW w:w="1668" w:type="dxa"/>
            <w:tcBorders>
              <w:top w:val="single" w:color="000000" w:sz="4" w:space="0"/>
              <w:bottom w:val="single" w:color="000000" w:sz="4" w:space="0"/>
              <w:right w:val="single" w:color="000000" w:sz="4" w:space="0"/>
            </w:tcBorders>
          </w:tcPr>
          <w:p>
            <w:pPr>
              <w:pStyle w:val="45"/>
              <w:spacing w:before="4"/>
              <w:rPr>
                <w:color w:val="auto"/>
                <w:sz w:val="16"/>
              </w:rPr>
            </w:pPr>
          </w:p>
          <w:p>
            <w:pPr>
              <w:pStyle w:val="45"/>
              <w:ind w:left="643" w:right="522"/>
              <w:jc w:val="center"/>
              <w:rPr>
                <w:color w:val="auto"/>
              </w:rPr>
            </w:pPr>
            <w:r>
              <w:rPr>
                <w:color w:val="auto"/>
              </w:rPr>
              <w:t xml:space="preserve">1 </w:t>
            </w:r>
          </w:p>
        </w:tc>
        <w:tc>
          <w:tcPr>
            <w:tcW w:w="4499" w:type="dxa"/>
            <w:tcBorders>
              <w:top w:val="single" w:color="000000" w:sz="4" w:space="0"/>
              <w:left w:val="single" w:color="000000" w:sz="4" w:space="0"/>
              <w:bottom w:val="single" w:color="000000" w:sz="4" w:space="0"/>
              <w:right w:val="single" w:color="000000" w:sz="4" w:space="0"/>
            </w:tcBorders>
          </w:tcPr>
          <w:p>
            <w:pPr>
              <w:pStyle w:val="45"/>
              <w:ind w:left="531" w:right="395"/>
              <w:jc w:val="center"/>
              <w:rPr>
                <w:color w:val="auto"/>
              </w:rPr>
            </w:pPr>
            <w:r>
              <w:rPr>
                <w:color w:val="auto"/>
              </w:rPr>
              <w:t xml:space="preserve">技术部分 </w:t>
            </w:r>
          </w:p>
          <w:p>
            <w:pPr>
              <w:pStyle w:val="45"/>
              <w:spacing w:before="146"/>
              <w:ind w:left="531" w:right="397"/>
              <w:jc w:val="center"/>
              <w:rPr>
                <w:color w:val="auto"/>
              </w:rPr>
            </w:pPr>
            <w:r>
              <w:rPr>
                <w:color w:val="auto"/>
              </w:rPr>
              <w:t xml:space="preserve">（承包人建议书和承包人实施计划） </w:t>
            </w:r>
          </w:p>
        </w:tc>
        <w:tc>
          <w:tcPr>
            <w:tcW w:w="2497" w:type="dxa"/>
            <w:tcBorders>
              <w:top w:val="single" w:color="000000" w:sz="4" w:space="0"/>
              <w:left w:val="single" w:color="000000" w:sz="4" w:space="0"/>
              <w:bottom w:val="single" w:color="000000" w:sz="4" w:space="0"/>
            </w:tcBorders>
          </w:tcPr>
          <w:p>
            <w:pPr>
              <w:pStyle w:val="45"/>
              <w:spacing w:before="4"/>
              <w:rPr>
                <w:color w:val="auto"/>
                <w:sz w:val="16"/>
              </w:rPr>
            </w:pPr>
          </w:p>
          <w:p>
            <w:pPr>
              <w:pStyle w:val="45"/>
              <w:ind w:right="891"/>
              <w:jc w:val="right"/>
              <w:rPr>
                <w:rFonts w:hint="default" w:eastAsia="宋体"/>
                <w:color w:val="auto"/>
                <w:lang w:val="en-US" w:eastAsia="zh-CN"/>
              </w:rPr>
            </w:pPr>
            <w:r>
              <w:rPr>
                <w:color w:val="auto"/>
              </w:rPr>
              <w:t>0.</w:t>
            </w:r>
            <w:r>
              <w:rPr>
                <w:rFonts w:hint="eastAsia"/>
                <w:color w:val="auto"/>
                <w:lang w:val="en-US" w:eastAsia="zh-CN"/>
              </w:rPr>
              <w:t>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1668" w:type="dxa"/>
            <w:tcBorders>
              <w:top w:val="single" w:color="000000" w:sz="4" w:space="0"/>
              <w:bottom w:val="single" w:color="000000" w:sz="4" w:space="0"/>
              <w:right w:val="single" w:color="000000" w:sz="4" w:space="0"/>
            </w:tcBorders>
          </w:tcPr>
          <w:p>
            <w:pPr>
              <w:pStyle w:val="45"/>
              <w:spacing w:before="154"/>
              <w:ind w:left="643" w:right="522"/>
              <w:jc w:val="center"/>
              <w:rPr>
                <w:color w:val="auto"/>
              </w:rPr>
            </w:pPr>
            <w:r>
              <w:rPr>
                <w:color w:val="auto"/>
              </w:rPr>
              <w:t xml:space="preserve">2 </w:t>
            </w:r>
          </w:p>
        </w:tc>
        <w:tc>
          <w:tcPr>
            <w:tcW w:w="4499" w:type="dxa"/>
            <w:tcBorders>
              <w:top w:val="single" w:color="000000" w:sz="4" w:space="0"/>
              <w:left w:val="single" w:color="000000" w:sz="4" w:space="0"/>
              <w:bottom w:val="single" w:color="000000" w:sz="4" w:space="0"/>
              <w:right w:val="single" w:color="000000" w:sz="4" w:space="0"/>
            </w:tcBorders>
          </w:tcPr>
          <w:p>
            <w:pPr>
              <w:pStyle w:val="45"/>
              <w:spacing w:before="154"/>
              <w:ind w:left="531" w:right="395"/>
              <w:jc w:val="center"/>
              <w:rPr>
                <w:color w:val="auto"/>
              </w:rPr>
            </w:pPr>
            <w:r>
              <w:rPr>
                <w:color w:val="auto"/>
              </w:rPr>
              <w:t xml:space="preserve">资信业绩 </w:t>
            </w:r>
          </w:p>
        </w:tc>
        <w:tc>
          <w:tcPr>
            <w:tcW w:w="2497" w:type="dxa"/>
            <w:tcBorders>
              <w:top w:val="single" w:color="000000" w:sz="4" w:space="0"/>
              <w:left w:val="single" w:color="000000" w:sz="4" w:space="0"/>
              <w:bottom w:val="single" w:color="000000" w:sz="4" w:space="0"/>
            </w:tcBorders>
          </w:tcPr>
          <w:p>
            <w:pPr>
              <w:pStyle w:val="45"/>
              <w:spacing w:before="154"/>
              <w:ind w:right="891"/>
              <w:jc w:val="right"/>
              <w:rPr>
                <w:rFonts w:hint="default" w:eastAsia="宋体"/>
                <w:color w:val="auto"/>
                <w:lang w:val="en-US" w:eastAsia="zh-CN"/>
              </w:rPr>
            </w:pPr>
            <w:r>
              <w:rPr>
                <w:color w:val="auto"/>
              </w:rPr>
              <w:t>0.</w:t>
            </w:r>
            <w:r>
              <w:rPr>
                <w:rFonts w:hint="eastAsia"/>
                <w:color w:val="auto"/>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6" w:hRule="atLeast"/>
        </w:trPr>
        <w:tc>
          <w:tcPr>
            <w:tcW w:w="1668" w:type="dxa"/>
            <w:tcBorders>
              <w:top w:val="single" w:color="000000" w:sz="4" w:space="0"/>
              <w:right w:val="single" w:color="000000" w:sz="4" w:space="0"/>
            </w:tcBorders>
          </w:tcPr>
          <w:p>
            <w:pPr>
              <w:pStyle w:val="45"/>
              <w:spacing w:before="7"/>
              <w:rPr>
                <w:color w:val="auto"/>
                <w:sz w:val="19"/>
              </w:rPr>
            </w:pPr>
          </w:p>
          <w:p>
            <w:pPr>
              <w:pStyle w:val="45"/>
              <w:ind w:left="643" w:right="522"/>
              <w:jc w:val="center"/>
              <w:rPr>
                <w:color w:val="auto"/>
              </w:rPr>
            </w:pPr>
            <w:r>
              <w:rPr>
                <w:color w:val="auto"/>
              </w:rPr>
              <w:t xml:space="preserve">3 </w:t>
            </w:r>
          </w:p>
        </w:tc>
        <w:tc>
          <w:tcPr>
            <w:tcW w:w="4499" w:type="dxa"/>
            <w:tcBorders>
              <w:top w:val="single" w:color="000000" w:sz="4" w:space="0"/>
              <w:left w:val="single" w:color="000000" w:sz="4" w:space="0"/>
              <w:right w:val="single" w:color="000000" w:sz="4" w:space="0"/>
            </w:tcBorders>
          </w:tcPr>
          <w:p>
            <w:pPr>
              <w:pStyle w:val="45"/>
              <w:spacing w:before="7"/>
              <w:rPr>
                <w:color w:val="auto"/>
                <w:sz w:val="19"/>
              </w:rPr>
            </w:pPr>
          </w:p>
          <w:p>
            <w:pPr>
              <w:pStyle w:val="45"/>
              <w:ind w:left="531" w:right="395"/>
              <w:jc w:val="center"/>
              <w:rPr>
                <w:color w:val="auto"/>
              </w:rPr>
            </w:pPr>
            <w:r>
              <w:rPr>
                <w:color w:val="auto"/>
              </w:rPr>
              <w:t xml:space="preserve">投标报价 </w:t>
            </w:r>
          </w:p>
        </w:tc>
        <w:tc>
          <w:tcPr>
            <w:tcW w:w="2497" w:type="dxa"/>
            <w:tcBorders>
              <w:top w:val="single" w:color="000000" w:sz="4" w:space="0"/>
              <w:left w:val="single" w:color="000000" w:sz="4" w:space="0"/>
            </w:tcBorders>
          </w:tcPr>
          <w:p>
            <w:pPr>
              <w:pStyle w:val="45"/>
              <w:spacing w:before="7"/>
              <w:rPr>
                <w:color w:val="auto"/>
                <w:sz w:val="19"/>
              </w:rPr>
            </w:pPr>
          </w:p>
          <w:p>
            <w:pPr>
              <w:pStyle w:val="45"/>
              <w:ind w:right="891"/>
              <w:jc w:val="right"/>
              <w:rPr>
                <w:rFonts w:hint="default" w:eastAsia="宋体"/>
                <w:color w:val="auto"/>
                <w:lang w:val="en-US" w:eastAsia="zh-CN"/>
              </w:rPr>
            </w:pPr>
            <w:r>
              <w:rPr>
                <w:color w:val="auto"/>
              </w:rPr>
              <w:t>0.</w:t>
            </w:r>
            <w:r>
              <w:rPr>
                <w:rFonts w:hint="eastAsia"/>
                <w:color w:val="auto"/>
                <w:lang w:val="en-US" w:eastAsia="zh-CN"/>
              </w:rPr>
              <w:t>15</w:t>
            </w:r>
          </w:p>
        </w:tc>
      </w:tr>
    </w:tbl>
    <w:p>
      <w:pPr>
        <w:spacing w:before="2"/>
        <w:ind w:left="53" w:right="3871"/>
        <w:rPr>
          <w:color w:val="auto"/>
          <w:sz w:val="24"/>
        </w:rPr>
      </w:pPr>
      <w:bookmarkStart w:id="90" w:name="附表3-12：综合得分计算表"/>
      <w:bookmarkEnd w:id="90"/>
    </w:p>
    <w:p>
      <w:pPr>
        <w:spacing w:before="2"/>
        <w:ind w:left="53" w:right="3871"/>
        <w:rPr>
          <w:color w:val="auto"/>
          <w:sz w:val="24"/>
        </w:rPr>
      </w:pPr>
    </w:p>
    <w:p>
      <w:pPr>
        <w:spacing w:before="2"/>
        <w:ind w:left="53" w:right="3871"/>
        <w:rPr>
          <w:color w:val="auto"/>
          <w:sz w:val="24"/>
        </w:rPr>
      </w:pPr>
      <w:r>
        <w:rPr>
          <w:color w:val="auto"/>
          <w:sz w:val="24"/>
        </w:rPr>
        <w:t>附表3-12：综合得分计算表</w:t>
      </w:r>
    </w:p>
    <w:p>
      <w:pPr>
        <w:spacing w:before="159"/>
        <w:ind w:left="1911" w:right="1570"/>
        <w:jc w:val="center"/>
        <w:rPr>
          <w:color w:val="auto"/>
          <w:sz w:val="28"/>
        </w:rPr>
      </w:pPr>
      <w:r>
        <w:rPr>
          <w:color w:val="auto"/>
          <w:sz w:val="28"/>
        </w:rPr>
        <w:t>综合得分计算表</w:t>
      </w:r>
    </w:p>
    <w:p>
      <w:pPr>
        <w:pStyle w:val="8"/>
        <w:rPr>
          <w:color w:val="auto"/>
          <w:sz w:val="20"/>
        </w:rPr>
      </w:pPr>
    </w:p>
    <w:p>
      <w:pPr>
        <w:pStyle w:val="8"/>
        <w:rPr>
          <w:color w:val="auto"/>
          <w:sz w:val="28"/>
        </w:rPr>
      </w:pPr>
    </w:p>
    <w:tbl>
      <w:tblPr>
        <w:tblStyle w:val="16"/>
        <w:tblW w:w="8462" w:type="dxa"/>
        <w:tblInd w:w="9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33"/>
        <w:gridCol w:w="2761"/>
        <w:gridCol w:w="2134"/>
        <w:gridCol w:w="21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8462" w:type="dxa"/>
            <w:gridSpan w:val="4"/>
            <w:tcBorders>
              <w:bottom w:val="single" w:color="000000" w:sz="4" w:space="0"/>
            </w:tcBorders>
          </w:tcPr>
          <w:p>
            <w:pPr>
              <w:pStyle w:val="45"/>
              <w:spacing w:before="9"/>
              <w:ind w:left="107"/>
              <w:rPr>
                <w:color w:val="auto"/>
              </w:rPr>
            </w:pPr>
            <w:r>
              <w:rPr>
                <w:color w:val="auto"/>
              </w:rPr>
              <w:t xml:space="preserve">投 标 人 （ ） 总 分 （ ）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vMerge w:val="restart"/>
            <w:tcBorders>
              <w:top w:val="single" w:color="000000" w:sz="4" w:space="0"/>
              <w:bottom w:val="single" w:color="000000" w:sz="4" w:space="0"/>
              <w:right w:val="single" w:color="000000" w:sz="4" w:space="0"/>
            </w:tcBorders>
          </w:tcPr>
          <w:p>
            <w:pPr>
              <w:pStyle w:val="45"/>
              <w:spacing w:before="1"/>
              <w:rPr>
                <w:color w:val="auto"/>
                <w:sz w:val="26"/>
              </w:rPr>
            </w:pPr>
          </w:p>
          <w:p>
            <w:pPr>
              <w:pStyle w:val="45"/>
              <w:ind w:left="275"/>
              <w:rPr>
                <w:color w:val="auto"/>
              </w:rPr>
            </w:pPr>
            <w:r>
              <w:rPr>
                <w:color w:val="auto"/>
              </w:rPr>
              <w:t xml:space="preserve">评委编号 </w:t>
            </w:r>
          </w:p>
        </w:tc>
        <w:tc>
          <w:tcPr>
            <w:tcW w:w="7029" w:type="dxa"/>
            <w:gridSpan w:val="3"/>
            <w:tcBorders>
              <w:top w:val="single" w:color="000000" w:sz="4" w:space="0"/>
              <w:left w:val="single" w:color="000000" w:sz="4" w:space="0"/>
              <w:bottom w:val="single" w:color="000000" w:sz="4" w:space="0"/>
            </w:tcBorders>
          </w:tcPr>
          <w:p>
            <w:pPr>
              <w:pStyle w:val="45"/>
              <w:spacing w:before="19"/>
              <w:ind w:left="3117" w:right="2971"/>
              <w:jc w:val="center"/>
              <w:rPr>
                <w:color w:val="auto"/>
              </w:rPr>
            </w:pPr>
            <w:r>
              <w:rPr>
                <w:color w:val="auto"/>
              </w:rPr>
              <w:t xml:space="preserve">单项得分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1433" w:type="dxa"/>
            <w:vMerge w:val="continue"/>
            <w:tcBorders>
              <w:top w:val="nil"/>
              <w:bottom w:val="single" w:color="000000" w:sz="4" w:space="0"/>
              <w:right w:val="single" w:color="000000" w:sz="4" w:space="0"/>
            </w:tcBorders>
          </w:tcPr>
          <w:p>
            <w:pPr>
              <w:rPr>
                <w:color w:val="auto"/>
                <w:sz w:val="2"/>
                <w:szCs w:val="2"/>
              </w:rPr>
            </w:pP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97"/>
              <w:ind w:left="983" w:right="847"/>
              <w:jc w:val="center"/>
              <w:rPr>
                <w:color w:val="auto"/>
              </w:rPr>
            </w:pPr>
            <w:r>
              <w:rPr>
                <w:color w:val="auto"/>
              </w:rPr>
              <w:t xml:space="preserve">技术部分 </w:t>
            </w:r>
          </w:p>
        </w:tc>
        <w:tc>
          <w:tcPr>
            <w:tcW w:w="2134" w:type="dxa"/>
            <w:tcBorders>
              <w:top w:val="single" w:color="000000" w:sz="4" w:space="0"/>
              <w:left w:val="single" w:color="000000" w:sz="4" w:space="0"/>
              <w:bottom w:val="single" w:color="000000" w:sz="4" w:space="0"/>
              <w:right w:val="single" w:color="000000" w:sz="4" w:space="0"/>
            </w:tcBorders>
          </w:tcPr>
          <w:p>
            <w:pPr>
              <w:pStyle w:val="45"/>
              <w:spacing w:before="97"/>
              <w:ind w:left="668" w:right="535"/>
              <w:jc w:val="center"/>
              <w:rPr>
                <w:color w:val="auto"/>
              </w:rPr>
            </w:pPr>
            <w:r>
              <w:rPr>
                <w:color w:val="auto"/>
              </w:rPr>
              <w:t xml:space="preserve">资信业绩 </w:t>
            </w:r>
          </w:p>
        </w:tc>
        <w:tc>
          <w:tcPr>
            <w:tcW w:w="2134" w:type="dxa"/>
            <w:tcBorders>
              <w:top w:val="single" w:color="000000" w:sz="4" w:space="0"/>
              <w:left w:val="single" w:color="000000" w:sz="4" w:space="0"/>
              <w:bottom w:val="single" w:color="000000" w:sz="4" w:space="0"/>
            </w:tcBorders>
          </w:tcPr>
          <w:p>
            <w:pPr>
              <w:pStyle w:val="45"/>
              <w:spacing w:before="97"/>
              <w:ind w:left="668" w:right="525"/>
              <w:jc w:val="center"/>
              <w:rPr>
                <w:color w:val="auto"/>
              </w:rPr>
            </w:pPr>
            <w:r>
              <w:rPr>
                <w:color w:val="auto"/>
              </w:rPr>
              <w:t xml:space="preserve">投标报价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19"/>
              <w:ind w:left="308" w:right="182"/>
              <w:jc w:val="center"/>
              <w:rPr>
                <w:color w:val="auto"/>
              </w:rPr>
            </w:pPr>
            <w:r>
              <w:rPr>
                <w:color w:val="auto"/>
              </w:rPr>
              <w:t xml:space="preserve">1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9"/>
              <w:ind w:left="138"/>
              <w:jc w:val="center"/>
              <w:rPr>
                <w:color w:val="auto"/>
              </w:rPr>
            </w:pPr>
            <w:r>
              <w:rPr>
                <w:color w:val="auto"/>
              </w:rPr>
              <w:t xml:space="preserve"> </w:t>
            </w:r>
          </w:p>
        </w:tc>
        <w:tc>
          <w:tcPr>
            <w:tcW w:w="2134" w:type="dxa"/>
            <w:vMerge w:val="restart"/>
            <w:tcBorders>
              <w:top w:val="single" w:color="000000" w:sz="4" w:space="0"/>
              <w:left w:val="single" w:color="000000" w:sz="4" w:space="0"/>
              <w:bottom w:val="single" w:color="000000" w:sz="4" w:space="0"/>
              <w:right w:val="single" w:color="000000" w:sz="4" w:space="0"/>
            </w:tcBorders>
          </w:tcPr>
          <w:p>
            <w:pPr>
              <w:pStyle w:val="45"/>
              <w:rPr>
                <w:color w:val="auto"/>
              </w:rPr>
            </w:pPr>
          </w:p>
          <w:p>
            <w:pPr>
              <w:pStyle w:val="45"/>
              <w:rPr>
                <w:color w:val="auto"/>
              </w:rPr>
            </w:pPr>
          </w:p>
          <w:p>
            <w:pPr>
              <w:pStyle w:val="45"/>
              <w:rPr>
                <w:color w:val="auto"/>
              </w:rPr>
            </w:pPr>
          </w:p>
          <w:p>
            <w:pPr>
              <w:pStyle w:val="45"/>
              <w:rPr>
                <w:color w:val="auto"/>
              </w:rPr>
            </w:pPr>
          </w:p>
          <w:p>
            <w:pPr>
              <w:pStyle w:val="45"/>
              <w:spacing w:before="10"/>
              <w:rPr>
                <w:color w:val="auto"/>
                <w:sz w:val="24"/>
              </w:rPr>
            </w:pPr>
          </w:p>
          <w:p>
            <w:pPr>
              <w:pStyle w:val="45"/>
              <w:ind w:left="131"/>
              <w:jc w:val="center"/>
              <w:rPr>
                <w:color w:val="auto"/>
              </w:rPr>
            </w:pPr>
            <w:r>
              <w:rPr>
                <w:color w:val="auto"/>
              </w:rPr>
              <w:t xml:space="preserve"> </w:t>
            </w:r>
          </w:p>
        </w:tc>
        <w:tc>
          <w:tcPr>
            <w:tcW w:w="2134" w:type="dxa"/>
            <w:vMerge w:val="restart"/>
            <w:tcBorders>
              <w:top w:val="single" w:color="000000" w:sz="4" w:space="0"/>
              <w:left w:val="single" w:color="000000" w:sz="4" w:space="0"/>
              <w:bottom w:val="single" w:color="000000" w:sz="4" w:space="0"/>
            </w:tcBorders>
          </w:tcPr>
          <w:p>
            <w:pPr>
              <w:pStyle w:val="45"/>
              <w:rPr>
                <w:color w:val="auto"/>
              </w:rPr>
            </w:pPr>
          </w:p>
          <w:p>
            <w:pPr>
              <w:pStyle w:val="45"/>
              <w:rPr>
                <w:color w:val="auto"/>
              </w:rPr>
            </w:pPr>
          </w:p>
          <w:p>
            <w:pPr>
              <w:pStyle w:val="45"/>
              <w:rPr>
                <w:color w:val="auto"/>
              </w:rPr>
            </w:pPr>
          </w:p>
          <w:p>
            <w:pPr>
              <w:pStyle w:val="45"/>
              <w:rPr>
                <w:color w:val="auto"/>
              </w:rPr>
            </w:pPr>
          </w:p>
          <w:p>
            <w:pPr>
              <w:pStyle w:val="45"/>
              <w:spacing w:before="10"/>
              <w:rPr>
                <w:color w:val="auto"/>
                <w:sz w:val="24"/>
              </w:rPr>
            </w:pPr>
          </w:p>
          <w:p>
            <w:pPr>
              <w:pStyle w:val="45"/>
              <w:ind w:left="141"/>
              <w:jc w:val="center"/>
              <w:rPr>
                <w:color w:val="auto"/>
              </w:rPr>
            </w:pPr>
            <w:r>
              <w:rPr>
                <w:color w:val="auto"/>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20"/>
              <w:ind w:left="308" w:right="182"/>
              <w:jc w:val="center"/>
              <w:rPr>
                <w:color w:val="auto"/>
              </w:rPr>
            </w:pPr>
            <w:r>
              <w:rPr>
                <w:color w:val="auto"/>
              </w:rPr>
              <w:t xml:space="preserve">2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20"/>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19"/>
              <w:ind w:left="308" w:right="182"/>
              <w:jc w:val="center"/>
              <w:rPr>
                <w:color w:val="auto"/>
              </w:rPr>
            </w:pPr>
            <w:r>
              <w:rPr>
                <w:color w:val="auto"/>
              </w:rPr>
              <w:t xml:space="preserve">3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9"/>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19"/>
              <w:ind w:left="308" w:right="182"/>
              <w:jc w:val="center"/>
              <w:rPr>
                <w:color w:val="auto"/>
              </w:rPr>
            </w:pPr>
            <w:r>
              <w:rPr>
                <w:color w:val="auto"/>
              </w:rPr>
              <w:t xml:space="preserve">4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9"/>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1433" w:type="dxa"/>
            <w:tcBorders>
              <w:top w:val="single" w:color="000000" w:sz="4" w:space="0"/>
              <w:bottom w:val="single" w:color="000000" w:sz="4" w:space="0"/>
              <w:right w:val="single" w:color="000000" w:sz="4" w:space="0"/>
            </w:tcBorders>
          </w:tcPr>
          <w:p>
            <w:pPr>
              <w:pStyle w:val="45"/>
              <w:spacing w:before="17"/>
              <w:ind w:left="308" w:right="182"/>
              <w:jc w:val="center"/>
              <w:rPr>
                <w:color w:val="auto"/>
              </w:rPr>
            </w:pPr>
            <w:r>
              <w:rPr>
                <w:color w:val="auto"/>
              </w:rPr>
              <w:t xml:space="preserve">5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7"/>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19"/>
              <w:ind w:left="308" w:right="182"/>
              <w:jc w:val="center"/>
              <w:rPr>
                <w:color w:val="auto"/>
              </w:rPr>
            </w:pPr>
            <w:r>
              <w:rPr>
                <w:color w:val="auto"/>
              </w:rPr>
              <w:t xml:space="preserve">6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9"/>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433" w:type="dxa"/>
            <w:tcBorders>
              <w:top w:val="single" w:color="000000" w:sz="4" w:space="0"/>
              <w:bottom w:val="single" w:color="000000" w:sz="4" w:space="0"/>
              <w:right w:val="single" w:color="000000" w:sz="4" w:space="0"/>
            </w:tcBorders>
          </w:tcPr>
          <w:p>
            <w:pPr>
              <w:pStyle w:val="45"/>
              <w:spacing w:before="19"/>
              <w:ind w:left="308" w:right="182"/>
              <w:jc w:val="center"/>
              <w:rPr>
                <w:color w:val="auto"/>
              </w:rPr>
            </w:pPr>
            <w:r>
              <w:rPr>
                <w:color w:val="auto"/>
              </w:rPr>
              <w:t xml:space="preserve">7 </w:t>
            </w:r>
          </w:p>
        </w:tc>
        <w:tc>
          <w:tcPr>
            <w:tcW w:w="2761" w:type="dxa"/>
            <w:tcBorders>
              <w:top w:val="single" w:color="000000" w:sz="4" w:space="0"/>
              <w:left w:val="single" w:color="000000" w:sz="4" w:space="0"/>
              <w:bottom w:val="single" w:color="000000" w:sz="4" w:space="0"/>
              <w:right w:val="single" w:color="000000" w:sz="4" w:space="0"/>
            </w:tcBorders>
          </w:tcPr>
          <w:p>
            <w:pPr>
              <w:pStyle w:val="45"/>
              <w:spacing w:before="19"/>
              <w:ind w:left="138"/>
              <w:jc w:val="center"/>
              <w:rPr>
                <w:color w:val="auto"/>
              </w:rPr>
            </w:pPr>
            <w:r>
              <w:rPr>
                <w:color w:val="auto"/>
              </w:rPr>
              <w:t xml:space="preserve"> </w:t>
            </w:r>
          </w:p>
        </w:tc>
        <w:tc>
          <w:tcPr>
            <w:tcW w:w="2134"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2134" w:type="dxa"/>
            <w:vMerge w:val="continue"/>
            <w:tcBorders>
              <w:top w:val="nil"/>
              <w:left w:val="single" w:color="000000" w:sz="4" w:space="0"/>
              <w:bottom w:val="single" w:color="000000" w:sz="4"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433" w:type="dxa"/>
            <w:tcBorders>
              <w:top w:val="single" w:color="000000" w:sz="4" w:space="0"/>
              <w:right w:val="single" w:color="000000" w:sz="4" w:space="0"/>
            </w:tcBorders>
          </w:tcPr>
          <w:p>
            <w:pPr>
              <w:pStyle w:val="45"/>
              <w:spacing w:before="39"/>
              <w:ind w:left="310" w:right="182"/>
              <w:jc w:val="center"/>
              <w:rPr>
                <w:color w:val="auto"/>
              </w:rPr>
            </w:pPr>
            <w:r>
              <w:rPr>
                <w:color w:val="auto"/>
              </w:rPr>
              <w:t xml:space="preserve">单项得分 </w:t>
            </w:r>
          </w:p>
        </w:tc>
        <w:tc>
          <w:tcPr>
            <w:tcW w:w="2761" w:type="dxa"/>
            <w:tcBorders>
              <w:top w:val="single" w:color="000000" w:sz="4" w:space="0"/>
              <w:left w:val="single" w:color="000000" w:sz="4" w:space="0"/>
              <w:right w:val="single" w:color="000000" w:sz="4" w:space="0"/>
            </w:tcBorders>
          </w:tcPr>
          <w:p>
            <w:pPr>
              <w:pStyle w:val="45"/>
              <w:spacing w:before="39"/>
              <w:ind w:left="138"/>
              <w:jc w:val="center"/>
              <w:rPr>
                <w:color w:val="auto"/>
              </w:rPr>
            </w:pPr>
            <w:r>
              <w:rPr>
                <w:color w:val="auto"/>
              </w:rPr>
              <w:t xml:space="preserve"> </w:t>
            </w:r>
          </w:p>
        </w:tc>
        <w:tc>
          <w:tcPr>
            <w:tcW w:w="2134" w:type="dxa"/>
            <w:tcBorders>
              <w:top w:val="single" w:color="000000" w:sz="4" w:space="0"/>
              <w:left w:val="single" w:color="000000" w:sz="4" w:space="0"/>
              <w:right w:val="single" w:color="000000" w:sz="4" w:space="0"/>
            </w:tcBorders>
          </w:tcPr>
          <w:p>
            <w:pPr>
              <w:pStyle w:val="45"/>
              <w:spacing w:before="39"/>
              <w:ind w:left="131"/>
              <w:jc w:val="center"/>
              <w:rPr>
                <w:color w:val="auto"/>
              </w:rPr>
            </w:pPr>
            <w:r>
              <w:rPr>
                <w:color w:val="auto"/>
              </w:rPr>
              <w:t xml:space="preserve"> </w:t>
            </w:r>
          </w:p>
        </w:tc>
        <w:tc>
          <w:tcPr>
            <w:tcW w:w="2134" w:type="dxa"/>
            <w:tcBorders>
              <w:top w:val="single" w:color="000000" w:sz="4" w:space="0"/>
              <w:left w:val="single" w:color="000000" w:sz="4" w:space="0"/>
            </w:tcBorders>
          </w:tcPr>
          <w:p>
            <w:pPr>
              <w:pStyle w:val="45"/>
              <w:spacing w:before="39"/>
              <w:ind w:left="141"/>
              <w:jc w:val="center"/>
              <w:rPr>
                <w:color w:val="auto"/>
              </w:rPr>
            </w:pPr>
            <w:r>
              <w:rPr>
                <w:color w:val="auto"/>
              </w:rPr>
              <w:t xml:space="preserve"> </w:t>
            </w:r>
          </w:p>
        </w:tc>
      </w:tr>
    </w:tbl>
    <w:p>
      <w:pPr>
        <w:spacing w:before="3"/>
        <w:ind w:left="521"/>
        <w:rPr>
          <w:color w:val="auto"/>
        </w:rPr>
      </w:pPr>
      <w:r>
        <w:rPr>
          <w:color w:val="auto"/>
        </w:rPr>
        <w:t xml:space="preserve">评标委员会全体成员签字/日期： </w:t>
      </w:r>
    </w:p>
    <w:p>
      <w:pPr>
        <w:spacing w:before="145"/>
        <w:ind w:left="521"/>
        <w:rPr>
          <w:color w:val="auto"/>
        </w:rPr>
      </w:pPr>
      <w:r>
        <w:rPr>
          <w:color w:val="auto"/>
        </w:rPr>
        <w:t xml:space="preserve">. </w:t>
      </w:r>
    </w:p>
    <w:p>
      <w:pPr>
        <w:spacing w:before="146"/>
        <w:ind w:left="521"/>
        <w:rPr>
          <w:color w:val="auto"/>
        </w:rPr>
      </w:pPr>
      <w:r>
        <w:rPr>
          <w:color w:val="auto"/>
        </w:rPr>
        <w:t xml:space="preserve"> </w:t>
      </w:r>
    </w:p>
    <w:p>
      <w:pPr>
        <w:rPr>
          <w:color w:val="auto"/>
        </w:rPr>
        <w:sectPr>
          <w:type w:val="continuous"/>
          <w:pgSz w:w="11920" w:h="16850"/>
          <w:pgMar w:top="1580" w:right="520" w:bottom="280" w:left="840" w:header="720" w:footer="720" w:gutter="0"/>
          <w:cols w:space="720" w:num="1"/>
        </w:sectPr>
      </w:pPr>
    </w:p>
    <w:p>
      <w:pPr>
        <w:spacing w:before="67"/>
        <w:ind w:left="100"/>
        <w:rPr>
          <w:color w:val="auto"/>
          <w:sz w:val="24"/>
        </w:rPr>
      </w:pPr>
      <w:r>
        <w:rPr>
          <w:color w:val="auto"/>
          <w:sz w:val="24"/>
        </w:rPr>
        <w:t>附表3-13：经评审的投标人排序表</w:t>
      </w:r>
    </w:p>
    <w:p>
      <w:pPr>
        <w:pStyle w:val="8"/>
        <w:spacing w:before="8"/>
        <w:rPr>
          <w:color w:val="auto"/>
          <w:sz w:val="41"/>
        </w:rPr>
      </w:pPr>
      <w:r>
        <w:rPr>
          <w:color w:val="auto"/>
        </w:rPr>
        <w:br w:type="column"/>
      </w:r>
    </w:p>
    <w:p>
      <w:pPr>
        <w:ind w:left="100"/>
        <w:rPr>
          <w:color w:val="auto"/>
          <w:sz w:val="28"/>
        </w:rPr>
      </w:pPr>
      <w:r>
        <w:rPr>
          <w:color w:val="auto"/>
          <w:sz w:val="28"/>
        </w:rPr>
        <w:t>经评审的投标人排序表</w:t>
      </w:r>
    </w:p>
    <w:p>
      <w:pPr>
        <w:rPr>
          <w:color w:val="auto"/>
          <w:sz w:val="28"/>
        </w:rPr>
        <w:sectPr>
          <w:pgSz w:w="11920" w:h="16850"/>
          <w:pgMar w:top="1500" w:right="520" w:bottom="1500" w:left="840" w:header="109" w:footer="1199" w:gutter="0"/>
          <w:cols w:equalWidth="0" w:num="2">
            <w:col w:w="3742" w:space="205"/>
            <w:col w:w="6613"/>
          </w:cols>
        </w:sectPr>
      </w:pPr>
    </w:p>
    <w:p>
      <w:pPr>
        <w:pStyle w:val="8"/>
        <w:spacing w:before="3"/>
        <w:rPr>
          <w:color w:val="auto"/>
          <w:sz w:val="9"/>
        </w:rPr>
      </w:pPr>
    </w:p>
    <w:p>
      <w:pPr>
        <w:spacing w:before="70"/>
        <w:ind w:left="521"/>
        <w:rPr>
          <w:color w:val="auto"/>
        </w:rPr>
      </w:pPr>
      <w:r>
        <w:rPr>
          <w:color w:val="auto"/>
        </w:rPr>
        <w:t xml:space="preserve">工程名称：（项目名称） </w:t>
      </w:r>
    </w:p>
    <w:p>
      <w:pPr>
        <w:pStyle w:val="8"/>
        <w:spacing w:before="8"/>
        <w:rPr>
          <w:color w:val="auto"/>
          <w:sz w:val="20"/>
        </w:rPr>
      </w:pPr>
    </w:p>
    <w:tbl>
      <w:tblPr>
        <w:tblStyle w:val="16"/>
        <w:tblW w:w="8328" w:type="dxa"/>
        <w:tblInd w:w="10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0"/>
        <w:gridCol w:w="4367"/>
        <w:gridCol w:w="27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60" w:type="dxa"/>
            <w:tcBorders>
              <w:bottom w:val="single" w:color="000000" w:sz="4" w:space="0"/>
              <w:right w:val="single" w:color="000000" w:sz="4" w:space="0"/>
            </w:tcBorders>
          </w:tcPr>
          <w:p>
            <w:pPr>
              <w:pStyle w:val="45"/>
              <w:spacing w:before="26"/>
              <w:ind w:left="409"/>
              <w:rPr>
                <w:color w:val="auto"/>
              </w:rPr>
            </w:pPr>
            <w:r>
              <w:rPr>
                <w:color w:val="auto"/>
              </w:rPr>
              <w:t>排序</w:t>
            </w:r>
          </w:p>
        </w:tc>
        <w:tc>
          <w:tcPr>
            <w:tcW w:w="4367" w:type="dxa"/>
            <w:tcBorders>
              <w:left w:val="single" w:color="000000" w:sz="4" w:space="0"/>
              <w:bottom w:val="single" w:color="000000" w:sz="4" w:space="0"/>
              <w:right w:val="single" w:color="000000" w:sz="4" w:space="0"/>
            </w:tcBorders>
          </w:tcPr>
          <w:p>
            <w:pPr>
              <w:pStyle w:val="45"/>
              <w:spacing w:before="26"/>
              <w:ind w:left="1622" w:right="1594"/>
              <w:jc w:val="center"/>
              <w:rPr>
                <w:color w:val="auto"/>
              </w:rPr>
            </w:pPr>
            <w:r>
              <w:rPr>
                <w:color w:val="auto"/>
              </w:rPr>
              <w:t>投标人名称</w:t>
            </w:r>
          </w:p>
        </w:tc>
        <w:tc>
          <w:tcPr>
            <w:tcW w:w="2701" w:type="dxa"/>
            <w:tcBorders>
              <w:left w:val="single" w:color="000000" w:sz="4" w:space="0"/>
              <w:bottom w:val="single" w:color="000000" w:sz="4" w:space="0"/>
            </w:tcBorders>
          </w:tcPr>
          <w:p>
            <w:pPr>
              <w:pStyle w:val="45"/>
              <w:spacing w:before="26"/>
              <w:ind w:left="1118" w:right="1083"/>
              <w:jc w:val="center"/>
              <w:rPr>
                <w:color w:val="auto"/>
              </w:rPr>
            </w:pPr>
            <w:r>
              <w:rPr>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260" w:type="dxa"/>
            <w:tcBorders>
              <w:top w:val="single" w:color="000000" w:sz="4" w:space="0"/>
              <w:bottom w:val="single" w:color="000000" w:sz="4" w:space="0"/>
              <w:right w:val="single" w:color="000000" w:sz="4" w:space="0"/>
            </w:tcBorders>
          </w:tcPr>
          <w:p>
            <w:pPr>
              <w:pStyle w:val="45"/>
              <w:rPr>
                <w:rFonts w:ascii="Times New Roman"/>
                <w:color w:val="auto"/>
                <w:sz w:val="20"/>
              </w:rPr>
            </w:pPr>
          </w:p>
        </w:tc>
        <w:tc>
          <w:tcPr>
            <w:tcW w:w="4367" w:type="dxa"/>
            <w:tcBorders>
              <w:top w:val="single" w:color="000000" w:sz="4" w:space="0"/>
              <w:left w:val="single" w:color="000000" w:sz="4" w:space="0"/>
              <w:bottom w:val="single" w:color="000000" w:sz="4" w:space="0"/>
              <w:right w:val="single" w:color="000000" w:sz="4" w:space="0"/>
            </w:tcBorders>
          </w:tcPr>
          <w:p>
            <w:pPr>
              <w:pStyle w:val="45"/>
              <w:rPr>
                <w:rFonts w:ascii="Times New Roman"/>
                <w:color w:val="auto"/>
                <w:sz w:val="20"/>
              </w:rPr>
            </w:pPr>
          </w:p>
        </w:tc>
        <w:tc>
          <w:tcPr>
            <w:tcW w:w="2701" w:type="dxa"/>
            <w:tcBorders>
              <w:top w:val="single" w:color="000000" w:sz="4" w:space="0"/>
              <w:left w:val="single" w:color="000000" w:sz="4" w:space="0"/>
              <w:bottom w:val="single" w:color="000000" w:sz="4" w:space="0"/>
            </w:tcBorders>
          </w:tcPr>
          <w:p>
            <w:pPr>
              <w:pStyle w:val="45"/>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8" w:hRule="atLeast"/>
        </w:trPr>
        <w:tc>
          <w:tcPr>
            <w:tcW w:w="1260" w:type="dxa"/>
            <w:tcBorders>
              <w:top w:val="single" w:color="000000" w:sz="4" w:space="0"/>
              <w:bottom w:val="single" w:color="000000" w:sz="4" w:space="0"/>
              <w:right w:val="single" w:color="000000" w:sz="4" w:space="0"/>
            </w:tcBorders>
          </w:tcPr>
          <w:p>
            <w:pPr>
              <w:pStyle w:val="45"/>
              <w:rPr>
                <w:rFonts w:ascii="Times New Roman"/>
                <w:color w:val="auto"/>
                <w:sz w:val="20"/>
              </w:rPr>
            </w:pPr>
          </w:p>
        </w:tc>
        <w:tc>
          <w:tcPr>
            <w:tcW w:w="4367" w:type="dxa"/>
            <w:tcBorders>
              <w:top w:val="single" w:color="000000" w:sz="4" w:space="0"/>
              <w:left w:val="single" w:color="000000" w:sz="4" w:space="0"/>
              <w:bottom w:val="single" w:color="000000" w:sz="4" w:space="0"/>
              <w:right w:val="single" w:color="000000" w:sz="4" w:space="0"/>
            </w:tcBorders>
          </w:tcPr>
          <w:p>
            <w:pPr>
              <w:pStyle w:val="45"/>
              <w:rPr>
                <w:rFonts w:ascii="Times New Roman"/>
                <w:color w:val="auto"/>
                <w:sz w:val="20"/>
              </w:rPr>
            </w:pPr>
          </w:p>
        </w:tc>
        <w:tc>
          <w:tcPr>
            <w:tcW w:w="2701" w:type="dxa"/>
            <w:tcBorders>
              <w:top w:val="single" w:color="000000" w:sz="4" w:space="0"/>
              <w:left w:val="single" w:color="000000" w:sz="4" w:space="0"/>
              <w:bottom w:val="single" w:color="000000" w:sz="4" w:space="0"/>
            </w:tcBorders>
          </w:tcPr>
          <w:p>
            <w:pPr>
              <w:pStyle w:val="45"/>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1260" w:type="dxa"/>
            <w:tcBorders>
              <w:top w:val="single" w:color="000000" w:sz="4" w:space="0"/>
              <w:right w:val="single" w:color="000000" w:sz="4" w:space="0"/>
            </w:tcBorders>
          </w:tcPr>
          <w:p>
            <w:pPr>
              <w:pStyle w:val="45"/>
              <w:rPr>
                <w:rFonts w:ascii="Times New Roman"/>
                <w:color w:val="auto"/>
                <w:sz w:val="20"/>
              </w:rPr>
            </w:pPr>
          </w:p>
        </w:tc>
        <w:tc>
          <w:tcPr>
            <w:tcW w:w="4367" w:type="dxa"/>
            <w:tcBorders>
              <w:top w:val="single" w:color="000000" w:sz="4" w:space="0"/>
              <w:left w:val="single" w:color="000000" w:sz="4" w:space="0"/>
              <w:right w:val="single" w:color="000000" w:sz="4" w:space="0"/>
            </w:tcBorders>
          </w:tcPr>
          <w:p>
            <w:pPr>
              <w:pStyle w:val="45"/>
              <w:rPr>
                <w:rFonts w:ascii="Times New Roman"/>
                <w:color w:val="auto"/>
                <w:sz w:val="20"/>
              </w:rPr>
            </w:pPr>
          </w:p>
        </w:tc>
        <w:tc>
          <w:tcPr>
            <w:tcW w:w="2701" w:type="dxa"/>
            <w:tcBorders>
              <w:top w:val="single" w:color="000000" w:sz="4" w:space="0"/>
              <w:left w:val="single" w:color="000000" w:sz="4" w:space="0"/>
            </w:tcBorders>
          </w:tcPr>
          <w:p>
            <w:pPr>
              <w:pStyle w:val="45"/>
              <w:rPr>
                <w:rFonts w:ascii="Times New Roman"/>
                <w:color w:val="auto"/>
                <w:sz w:val="20"/>
              </w:rPr>
            </w:pPr>
          </w:p>
        </w:tc>
      </w:tr>
    </w:tbl>
    <w:p>
      <w:pPr>
        <w:spacing w:before="1"/>
        <w:ind w:left="521"/>
        <w:rPr>
          <w:color w:val="auto"/>
        </w:rPr>
      </w:pPr>
      <w:r>
        <w:rPr>
          <w:color w:val="auto"/>
        </w:rPr>
        <w:t>评标委员会全体成员签字/日期：</w:t>
      </w:r>
    </w:p>
    <w:p>
      <w:pPr>
        <w:pStyle w:val="8"/>
        <w:rPr>
          <w:color w:val="auto"/>
          <w:sz w:val="20"/>
        </w:rPr>
      </w:pPr>
    </w:p>
    <w:p>
      <w:pPr>
        <w:pStyle w:val="8"/>
        <w:spacing w:before="7"/>
        <w:rPr>
          <w:color w:val="auto"/>
          <w:sz w:val="28"/>
        </w:rPr>
      </w:pPr>
    </w:p>
    <w:p>
      <w:pPr>
        <w:rPr>
          <w:color w:val="auto"/>
          <w:sz w:val="28"/>
        </w:rPr>
        <w:sectPr>
          <w:type w:val="continuous"/>
          <w:pgSz w:w="11920" w:h="16850"/>
          <w:pgMar w:top="1580" w:right="520" w:bottom="280" w:left="840" w:header="720" w:footer="720" w:gutter="0"/>
          <w:cols w:space="720" w:num="1"/>
        </w:sectPr>
      </w:pPr>
    </w:p>
    <w:p>
      <w:pPr>
        <w:spacing w:before="67"/>
        <w:rPr>
          <w:color w:val="auto"/>
          <w:sz w:val="24"/>
        </w:rPr>
      </w:pPr>
      <w:bookmarkStart w:id="91" w:name="附表3-14：中标候选人表"/>
      <w:bookmarkEnd w:id="91"/>
      <w:r>
        <w:rPr>
          <w:color w:val="auto"/>
          <w:sz w:val="24"/>
        </w:rPr>
        <w:t>附表3-14：中标候选人表</w:t>
      </w:r>
    </w:p>
    <w:p>
      <w:pPr>
        <w:pStyle w:val="8"/>
        <w:spacing w:before="5"/>
        <w:rPr>
          <w:color w:val="auto"/>
          <w:sz w:val="41"/>
        </w:rPr>
      </w:pPr>
      <w:r>
        <w:rPr>
          <w:color w:val="auto"/>
        </w:rPr>
        <w:br w:type="column"/>
      </w:r>
    </w:p>
    <w:p>
      <w:pPr>
        <w:spacing w:before="1"/>
        <w:rPr>
          <w:color w:val="auto"/>
          <w:sz w:val="28"/>
        </w:rPr>
      </w:pPr>
      <w:r>
        <w:rPr>
          <w:color w:val="auto"/>
          <w:sz w:val="28"/>
        </w:rPr>
        <w:t>中标候选人表</w:t>
      </w:r>
    </w:p>
    <w:p>
      <w:pPr>
        <w:rPr>
          <w:color w:val="auto"/>
          <w:sz w:val="28"/>
        </w:rPr>
        <w:sectPr>
          <w:type w:val="continuous"/>
          <w:pgSz w:w="11920" w:h="16850"/>
          <w:pgMar w:top="1580" w:right="520" w:bottom="280" w:left="840" w:header="720" w:footer="720" w:gutter="0"/>
          <w:cols w:equalWidth="0" w:num="2">
            <w:col w:w="4566" w:space="40"/>
            <w:col w:w="5954"/>
          </w:cols>
        </w:sectPr>
      </w:pPr>
    </w:p>
    <w:p>
      <w:pPr>
        <w:pStyle w:val="8"/>
        <w:spacing w:before="3"/>
        <w:rPr>
          <w:color w:val="auto"/>
          <w:sz w:val="9"/>
        </w:rPr>
      </w:pPr>
    </w:p>
    <w:p>
      <w:pPr>
        <w:spacing w:before="70"/>
        <w:ind w:left="521"/>
        <w:rPr>
          <w:color w:val="auto"/>
        </w:rPr>
      </w:pPr>
      <w:r>
        <w:rPr>
          <w:color w:val="auto"/>
        </w:rPr>
        <w:t>工程名称：（项目名称）</w:t>
      </w:r>
    </w:p>
    <w:p>
      <w:pPr>
        <w:pStyle w:val="8"/>
        <w:spacing w:before="10"/>
        <w:rPr>
          <w:color w:val="auto"/>
          <w:sz w:val="20"/>
        </w:rPr>
      </w:pPr>
    </w:p>
    <w:tbl>
      <w:tblPr>
        <w:tblStyle w:val="16"/>
        <w:tblW w:w="8352" w:type="dxa"/>
        <w:tblInd w:w="10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44"/>
        <w:gridCol w:w="4189"/>
        <w:gridCol w:w="31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1044" w:type="dxa"/>
            <w:tcBorders>
              <w:bottom w:val="single" w:color="000000" w:sz="4" w:space="0"/>
              <w:right w:val="single" w:color="000000" w:sz="4" w:space="0"/>
            </w:tcBorders>
          </w:tcPr>
          <w:p>
            <w:pPr>
              <w:pStyle w:val="45"/>
              <w:spacing w:before="62"/>
              <w:ind w:left="229" w:right="213"/>
              <w:jc w:val="center"/>
              <w:rPr>
                <w:color w:val="auto"/>
                <w:sz w:val="18"/>
              </w:rPr>
            </w:pPr>
            <w:r>
              <w:rPr>
                <w:color w:val="auto"/>
                <w:sz w:val="18"/>
              </w:rPr>
              <w:t>排序</w:t>
            </w:r>
          </w:p>
        </w:tc>
        <w:tc>
          <w:tcPr>
            <w:tcW w:w="4189" w:type="dxa"/>
            <w:tcBorders>
              <w:left w:val="single" w:color="000000" w:sz="4" w:space="0"/>
              <w:bottom w:val="single" w:color="000000" w:sz="4" w:space="0"/>
              <w:right w:val="single" w:color="000000" w:sz="4" w:space="0"/>
            </w:tcBorders>
          </w:tcPr>
          <w:p>
            <w:pPr>
              <w:pStyle w:val="45"/>
              <w:spacing w:before="62"/>
              <w:ind w:left="1633" w:right="1605"/>
              <w:jc w:val="center"/>
              <w:rPr>
                <w:color w:val="auto"/>
                <w:sz w:val="18"/>
              </w:rPr>
            </w:pPr>
            <w:r>
              <w:rPr>
                <w:color w:val="auto"/>
                <w:sz w:val="18"/>
              </w:rPr>
              <w:t>中标候选人</w:t>
            </w:r>
          </w:p>
        </w:tc>
        <w:tc>
          <w:tcPr>
            <w:tcW w:w="3119" w:type="dxa"/>
            <w:tcBorders>
              <w:left w:val="single" w:color="000000" w:sz="4" w:space="0"/>
              <w:bottom w:val="single" w:color="000000" w:sz="4" w:space="0"/>
            </w:tcBorders>
          </w:tcPr>
          <w:p>
            <w:pPr>
              <w:pStyle w:val="45"/>
              <w:spacing w:before="62"/>
              <w:ind w:left="1367" w:right="1331"/>
              <w:jc w:val="center"/>
              <w:rPr>
                <w:color w:val="auto"/>
                <w:sz w:val="18"/>
              </w:rPr>
            </w:pPr>
            <w:r>
              <w:rPr>
                <w:color w:val="auto"/>
                <w:sz w:val="18"/>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044" w:type="dxa"/>
            <w:tcBorders>
              <w:top w:val="single" w:color="000000" w:sz="4" w:space="0"/>
              <w:bottom w:val="single" w:color="000000" w:sz="4" w:space="0"/>
              <w:right w:val="single" w:color="000000" w:sz="4" w:space="0"/>
            </w:tcBorders>
          </w:tcPr>
          <w:p>
            <w:pPr>
              <w:pStyle w:val="45"/>
              <w:spacing w:before="50"/>
              <w:ind w:left="231" w:right="213"/>
              <w:jc w:val="center"/>
              <w:rPr>
                <w:color w:val="auto"/>
                <w:sz w:val="18"/>
              </w:rPr>
            </w:pPr>
            <w:r>
              <w:rPr>
                <w:color w:val="auto"/>
                <w:sz w:val="18"/>
              </w:rPr>
              <w:t>第一名</w:t>
            </w:r>
          </w:p>
        </w:tc>
        <w:tc>
          <w:tcPr>
            <w:tcW w:w="4189" w:type="dxa"/>
            <w:tcBorders>
              <w:top w:val="single" w:color="000000" w:sz="4" w:space="0"/>
              <w:left w:val="single" w:color="000000" w:sz="4" w:space="0"/>
              <w:bottom w:val="single" w:color="000000" w:sz="4" w:space="0"/>
              <w:right w:val="single" w:color="000000" w:sz="4" w:space="0"/>
            </w:tcBorders>
          </w:tcPr>
          <w:p>
            <w:pPr>
              <w:pStyle w:val="45"/>
              <w:rPr>
                <w:rFonts w:ascii="Times New Roman"/>
                <w:color w:val="auto"/>
                <w:sz w:val="20"/>
              </w:rPr>
            </w:pPr>
          </w:p>
        </w:tc>
        <w:tc>
          <w:tcPr>
            <w:tcW w:w="3119" w:type="dxa"/>
            <w:tcBorders>
              <w:top w:val="single" w:color="000000" w:sz="4" w:space="0"/>
              <w:left w:val="single" w:color="000000" w:sz="4" w:space="0"/>
              <w:bottom w:val="single" w:color="000000" w:sz="4" w:space="0"/>
            </w:tcBorders>
          </w:tcPr>
          <w:p>
            <w:pPr>
              <w:pStyle w:val="45"/>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44" w:type="dxa"/>
            <w:tcBorders>
              <w:top w:val="single" w:color="000000" w:sz="4" w:space="0"/>
              <w:bottom w:val="single" w:color="000000" w:sz="4" w:space="0"/>
              <w:right w:val="single" w:color="000000" w:sz="4" w:space="0"/>
            </w:tcBorders>
          </w:tcPr>
          <w:p>
            <w:pPr>
              <w:pStyle w:val="45"/>
              <w:spacing w:before="52"/>
              <w:ind w:left="231" w:right="213"/>
              <w:jc w:val="center"/>
              <w:rPr>
                <w:color w:val="auto"/>
                <w:sz w:val="18"/>
              </w:rPr>
            </w:pPr>
            <w:r>
              <w:rPr>
                <w:color w:val="auto"/>
                <w:sz w:val="18"/>
              </w:rPr>
              <w:t>第二名</w:t>
            </w:r>
          </w:p>
        </w:tc>
        <w:tc>
          <w:tcPr>
            <w:tcW w:w="4189" w:type="dxa"/>
            <w:tcBorders>
              <w:top w:val="single" w:color="000000" w:sz="4" w:space="0"/>
              <w:left w:val="single" w:color="000000" w:sz="4" w:space="0"/>
              <w:bottom w:val="single" w:color="000000" w:sz="4" w:space="0"/>
              <w:right w:val="single" w:color="000000" w:sz="4" w:space="0"/>
            </w:tcBorders>
          </w:tcPr>
          <w:p>
            <w:pPr>
              <w:pStyle w:val="45"/>
              <w:rPr>
                <w:rFonts w:ascii="Times New Roman"/>
                <w:color w:val="auto"/>
                <w:sz w:val="20"/>
              </w:rPr>
            </w:pPr>
          </w:p>
        </w:tc>
        <w:tc>
          <w:tcPr>
            <w:tcW w:w="3119" w:type="dxa"/>
            <w:tcBorders>
              <w:top w:val="single" w:color="000000" w:sz="4" w:space="0"/>
              <w:left w:val="single" w:color="000000" w:sz="4" w:space="0"/>
              <w:bottom w:val="single" w:color="000000" w:sz="4" w:space="0"/>
            </w:tcBorders>
          </w:tcPr>
          <w:p>
            <w:pPr>
              <w:pStyle w:val="45"/>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044" w:type="dxa"/>
            <w:tcBorders>
              <w:top w:val="single" w:color="000000" w:sz="4" w:space="0"/>
              <w:right w:val="single" w:color="000000" w:sz="4" w:space="0"/>
            </w:tcBorders>
          </w:tcPr>
          <w:p>
            <w:pPr>
              <w:pStyle w:val="45"/>
              <w:spacing w:before="55"/>
              <w:ind w:left="231" w:right="213"/>
              <w:jc w:val="center"/>
              <w:rPr>
                <w:color w:val="auto"/>
                <w:sz w:val="18"/>
              </w:rPr>
            </w:pPr>
            <w:r>
              <w:rPr>
                <w:color w:val="auto"/>
                <w:sz w:val="18"/>
              </w:rPr>
              <w:t>第三名</w:t>
            </w:r>
          </w:p>
        </w:tc>
        <w:tc>
          <w:tcPr>
            <w:tcW w:w="4189" w:type="dxa"/>
            <w:tcBorders>
              <w:top w:val="single" w:color="000000" w:sz="4" w:space="0"/>
              <w:left w:val="single" w:color="000000" w:sz="4" w:space="0"/>
              <w:right w:val="single" w:color="000000" w:sz="4" w:space="0"/>
            </w:tcBorders>
          </w:tcPr>
          <w:p>
            <w:pPr>
              <w:pStyle w:val="45"/>
              <w:rPr>
                <w:rFonts w:ascii="Times New Roman"/>
                <w:color w:val="auto"/>
                <w:sz w:val="20"/>
              </w:rPr>
            </w:pPr>
          </w:p>
        </w:tc>
        <w:tc>
          <w:tcPr>
            <w:tcW w:w="3119" w:type="dxa"/>
            <w:tcBorders>
              <w:top w:val="single" w:color="000000" w:sz="4" w:space="0"/>
              <w:left w:val="single" w:color="000000" w:sz="4" w:space="0"/>
            </w:tcBorders>
          </w:tcPr>
          <w:p>
            <w:pPr>
              <w:pStyle w:val="45"/>
              <w:rPr>
                <w:rFonts w:ascii="Times New Roman"/>
                <w:color w:val="auto"/>
                <w:sz w:val="20"/>
              </w:rPr>
            </w:pPr>
          </w:p>
        </w:tc>
      </w:tr>
    </w:tbl>
    <w:p>
      <w:pPr>
        <w:spacing w:before="1"/>
        <w:ind w:left="521"/>
        <w:rPr>
          <w:color w:val="auto"/>
        </w:rPr>
      </w:pPr>
      <w:r>
        <w:rPr>
          <w:color w:val="auto"/>
        </w:rPr>
        <w:t xml:space="preserve"> </w:t>
      </w:r>
    </w:p>
    <w:p>
      <w:pPr>
        <w:spacing w:before="147"/>
        <w:ind w:left="521"/>
        <w:rPr>
          <w:color w:val="auto"/>
        </w:rPr>
      </w:pPr>
      <w:r>
        <w:rPr>
          <w:color w:val="auto"/>
        </w:rPr>
        <w:t xml:space="preserve">评标委员会全体成员签字： </w:t>
      </w:r>
    </w:p>
    <w:p>
      <w:pPr>
        <w:spacing w:before="146"/>
        <w:ind w:left="521"/>
        <w:rPr>
          <w:color w:val="auto"/>
        </w:rPr>
      </w:pPr>
      <w:r>
        <w:rPr>
          <w:color w:val="auto"/>
        </w:rPr>
        <w:t xml:space="preserve"> </w:t>
      </w:r>
    </w:p>
    <w:p>
      <w:pPr>
        <w:spacing w:before="145"/>
        <w:ind w:left="521"/>
        <w:rPr>
          <w:color w:val="auto"/>
        </w:rPr>
      </w:pPr>
      <w:r>
        <w:rPr>
          <w:color w:val="auto"/>
        </w:rPr>
        <w:t xml:space="preserve">招标人代表签字： </w:t>
      </w:r>
    </w:p>
    <w:p>
      <w:pPr>
        <w:spacing w:before="145"/>
        <w:ind w:left="521"/>
        <w:rPr>
          <w:color w:val="auto"/>
        </w:rPr>
      </w:pPr>
      <w:r>
        <w:rPr>
          <w:color w:val="auto"/>
        </w:rPr>
        <w:t xml:space="preserve"> </w:t>
      </w:r>
    </w:p>
    <w:p>
      <w:pPr>
        <w:spacing w:before="149"/>
        <w:ind w:left="521"/>
        <w:rPr>
          <w:color w:val="auto"/>
        </w:rPr>
      </w:pPr>
      <w:r>
        <w:rPr>
          <w:color w:val="auto"/>
        </w:rPr>
        <w:t xml:space="preserve">监督人员签字： </w:t>
      </w:r>
    </w:p>
    <w:p>
      <w:pPr>
        <w:spacing w:before="145"/>
        <w:ind w:left="521"/>
        <w:rPr>
          <w:color w:val="auto"/>
        </w:rPr>
      </w:pPr>
      <w:r>
        <w:rPr>
          <w:color w:val="auto"/>
        </w:rPr>
        <w:t xml:space="preserve"> </w:t>
      </w:r>
    </w:p>
    <w:p>
      <w:pPr>
        <w:spacing w:before="145"/>
        <w:ind w:left="521"/>
        <w:rPr>
          <w:color w:val="auto"/>
        </w:rPr>
      </w:pPr>
      <w:r>
        <w:rPr>
          <w:color w:val="auto"/>
        </w:rPr>
        <w:t xml:space="preserve">日期：年月日 </w:t>
      </w:r>
    </w:p>
    <w:p>
      <w:pPr>
        <w:spacing w:before="149"/>
        <w:ind w:left="100"/>
        <w:rPr>
          <w:color w:val="auto"/>
          <w:sz w:val="20"/>
        </w:rPr>
      </w:pPr>
      <w:r>
        <w:rPr>
          <w:color w:val="auto"/>
          <w:w w:val="99"/>
          <w:sz w:val="20"/>
        </w:rPr>
        <w:t xml:space="preserve"> </w:t>
      </w:r>
    </w:p>
    <w:p>
      <w:pPr>
        <w:spacing w:before="3"/>
        <w:ind w:left="100"/>
        <w:rPr>
          <w:color w:val="auto"/>
          <w:sz w:val="20"/>
        </w:rPr>
      </w:pPr>
      <w:r>
        <w:rPr>
          <w:color w:val="auto"/>
          <w:w w:val="99"/>
          <w:sz w:val="20"/>
        </w:rPr>
        <w:t xml:space="preserve"> </w:t>
      </w:r>
    </w:p>
    <w:p>
      <w:pPr>
        <w:spacing w:before="3"/>
        <w:ind w:left="100"/>
        <w:rPr>
          <w:color w:val="auto"/>
          <w:sz w:val="20"/>
        </w:rPr>
      </w:pPr>
      <w:r>
        <w:rPr>
          <w:color w:val="auto"/>
          <w:w w:val="99"/>
          <w:sz w:val="20"/>
        </w:rPr>
        <w:t xml:space="preserve"> </w:t>
      </w:r>
    </w:p>
    <w:p>
      <w:pPr>
        <w:spacing w:before="14" w:line="192" w:lineRule="exact"/>
        <w:ind w:left="100"/>
        <w:rPr>
          <w:color w:val="auto"/>
          <w:sz w:val="15"/>
        </w:rPr>
      </w:pPr>
      <w:r>
        <w:rPr>
          <w:color w:val="auto"/>
          <w:sz w:val="15"/>
        </w:rPr>
        <w:t xml:space="preserve"> </w:t>
      </w:r>
    </w:p>
    <w:p>
      <w:pPr>
        <w:tabs>
          <w:tab w:val="left" w:pos="2981"/>
        </w:tabs>
        <w:spacing w:line="282" w:lineRule="exact"/>
        <w:ind w:left="100"/>
        <w:rPr>
          <w:color w:val="auto"/>
        </w:rPr>
      </w:pPr>
      <w:r>
        <w:rPr>
          <w:color w:val="auto"/>
        </w:rPr>
        <w:t xml:space="preserve"> </w:t>
      </w:r>
      <w:r>
        <w:rPr>
          <w:color w:val="auto"/>
        </w:rPr>
        <w:tab/>
      </w:r>
      <w:r>
        <w:rPr>
          <w:color w:val="auto"/>
        </w:rPr>
        <w:t xml:space="preserve"> </w:t>
      </w:r>
    </w:p>
    <w:p>
      <w:pPr>
        <w:spacing w:line="282" w:lineRule="exact"/>
        <w:rPr>
          <w:color w:val="auto"/>
        </w:rPr>
        <w:sectPr>
          <w:type w:val="continuous"/>
          <w:pgSz w:w="11920" w:h="16850"/>
          <w:pgMar w:top="1580" w:right="520" w:bottom="280" w:left="840" w:header="720" w:footer="720" w:gutter="0"/>
          <w:cols w:space="720" w:num="1"/>
        </w:sect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38"/>
        <w:tabs>
          <w:tab w:val="left" w:pos="1279"/>
        </w:tabs>
        <w:spacing w:before="220"/>
        <w:ind w:right="223"/>
        <w:rPr>
          <w:rFonts w:ascii="黑体" w:eastAsia="黑体"/>
          <w:color w:val="auto"/>
          <w:u w:val="none"/>
        </w:rPr>
      </w:pPr>
      <w:bookmarkStart w:id="92" w:name="第四章__合同条款及格式"/>
      <w:bookmarkEnd w:id="92"/>
      <w:bookmarkStart w:id="93" w:name="_bookmark3"/>
      <w:bookmarkEnd w:id="93"/>
      <w:r>
        <w:rPr>
          <w:rFonts w:hint="eastAsia" w:ascii="黑体" w:eastAsia="黑体"/>
          <w:color w:val="auto"/>
          <w:u w:val="none"/>
        </w:rPr>
        <w:t>第四章</w:t>
      </w:r>
      <w:r>
        <w:rPr>
          <w:rFonts w:hint="eastAsia" w:ascii="黑体" w:eastAsia="黑体"/>
          <w:color w:val="auto"/>
          <w:u w:val="none"/>
        </w:rPr>
        <w:tab/>
      </w:r>
      <w:r>
        <w:rPr>
          <w:rFonts w:hint="eastAsia" w:ascii="黑体" w:eastAsia="黑体"/>
          <w:color w:val="auto"/>
          <w:u w:val="none"/>
        </w:rPr>
        <w:t>合同条款及格式</w:t>
      </w:r>
    </w:p>
    <w:p>
      <w:pPr>
        <w:pStyle w:val="8"/>
        <w:rPr>
          <w:rFonts w:ascii="黑体"/>
          <w:color w:val="auto"/>
          <w:sz w:val="32"/>
        </w:rPr>
      </w:pPr>
    </w:p>
    <w:p>
      <w:pPr>
        <w:pStyle w:val="8"/>
        <w:spacing w:before="4"/>
        <w:rPr>
          <w:rFonts w:ascii="黑体"/>
          <w:color w:val="auto"/>
          <w:sz w:val="25"/>
        </w:rPr>
      </w:pPr>
    </w:p>
    <w:p>
      <w:pPr>
        <w:pStyle w:val="42"/>
        <w:ind w:left="4" w:right="223" w:firstLine="0"/>
        <w:jc w:val="center"/>
        <w:rPr>
          <w:rFonts w:ascii="宋体" w:eastAsia="宋体"/>
          <w:color w:val="auto"/>
        </w:rPr>
      </w:pPr>
      <w:r>
        <w:rPr>
          <w:rFonts w:hint="eastAsia" w:ascii="宋体" w:eastAsia="宋体"/>
          <w:color w:val="auto"/>
        </w:rPr>
        <w:t>（仅为参考版本，最终以实际签字的合同为准）</w:t>
      </w:r>
    </w:p>
    <w:p>
      <w:pPr>
        <w:jc w:val="center"/>
        <w:rPr>
          <w:color w:val="auto"/>
        </w:rPr>
        <w:sectPr>
          <w:footerReference r:id="rId25" w:type="default"/>
          <w:pgSz w:w="11910" w:h="16840"/>
          <w:pgMar w:top="1580" w:right="700" w:bottom="1180" w:left="920" w:header="0" w:footer="995" w:gutter="0"/>
          <w:cols w:space="720" w:num="1"/>
        </w:sectPr>
      </w:pPr>
    </w:p>
    <w:p>
      <w:pPr>
        <w:pStyle w:val="8"/>
        <w:spacing w:before="7"/>
        <w:rPr>
          <w:color w:val="auto"/>
          <w:sz w:val="18"/>
        </w:rPr>
      </w:pPr>
    </w:p>
    <w:p>
      <w:pPr>
        <w:tabs>
          <w:tab w:val="left" w:pos="1286"/>
        </w:tabs>
        <w:spacing w:before="54"/>
        <w:ind w:right="223"/>
        <w:jc w:val="center"/>
        <w:rPr>
          <w:b/>
          <w:color w:val="auto"/>
          <w:sz w:val="32"/>
        </w:rPr>
      </w:pPr>
      <w:bookmarkStart w:id="94" w:name="第一节__通用合同条款"/>
      <w:bookmarkEnd w:id="94"/>
      <w:r>
        <w:rPr>
          <w:b/>
          <w:color w:val="auto"/>
          <w:sz w:val="32"/>
        </w:rPr>
        <w:t>第一节</w:t>
      </w:r>
      <w:r>
        <w:rPr>
          <w:b/>
          <w:color w:val="auto"/>
          <w:sz w:val="32"/>
        </w:rPr>
        <w:tab/>
      </w:r>
      <w:r>
        <w:rPr>
          <w:b/>
          <w:color w:val="auto"/>
          <w:sz w:val="32"/>
        </w:rPr>
        <w:t>通用合同条款</w:t>
      </w:r>
    </w:p>
    <w:p>
      <w:pPr>
        <w:pStyle w:val="8"/>
        <w:spacing w:before="2"/>
        <w:rPr>
          <w:b/>
          <w:color w:val="auto"/>
          <w:sz w:val="29"/>
        </w:rPr>
      </w:pPr>
    </w:p>
    <w:p>
      <w:pPr>
        <w:pStyle w:val="44"/>
        <w:numPr>
          <w:ilvl w:val="0"/>
          <w:numId w:val="22"/>
        </w:numPr>
        <w:tabs>
          <w:tab w:val="left" w:pos="514"/>
        </w:tabs>
        <w:spacing w:before="75"/>
        <w:ind w:hanging="302"/>
        <w:rPr>
          <w:rFonts w:ascii="Times New Roman" w:eastAsia="Times New Roman"/>
          <w:b/>
          <w:color w:val="auto"/>
          <w:sz w:val="24"/>
        </w:rPr>
      </w:pPr>
      <w:bookmarkStart w:id="95" w:name="1._一般约定"/>
      <w:bookmarkEnd w:id="95"/>
      <w:r>
        <w:rPr>
          <w:b/>
          <w:color w:val="auto"/>
          <w:sz w:val="24"/>
        </w:rPr>
        <w:t>一般约定</w:t>
      </w:r>
    </w:p>
    <w:p>
      <w:pPr>
        <w:pStyle w:val="44"/>
        <w:numPr>
          <w:ilvl w:val="1"/>
          <w:numId w:val="22"/>
        </w:numPr>
        <w:tabs>
          <w:tab w:val="left" w:pos="634"/>
        </w:tabs>
        <w:spacing w:before="160"/>
        <w:ind w:left="633" w:hanging="422"/>
        <w:rPr>
          <w:rFonts w:ascii="Times New Roman" w:eastAsia="Times New Roman"/>
          <w:b/>
          <w:color w:val="auto"/>
          <w:sz w:val="24"/>
        </w:rPr>
      </w:pPr>
      <w:r>
        <w:rPr>
          <w:b/>
          <w:color w:val="auto"/>
          <w:sz w:val="24"/>
        </w:rPr>
        <w:t>词语定义</w:t>
      </w:r>
    </w:p>
    <w:p>
      <w:pPr>
        <w:pStyle w:val="8"/>
        <w:spacing w:before="181"/>
        <w:ind w:left="633"/>
        <w:rPr>
          <w:color w:val="auto"/>
        </w:rPr>
      </w:pPr>
      <w:r>
        <w:rPr>
          <w:color w:val="auto"/>
        </w:rPr>
        <w:t xml:space="preserve">通用合同条款、专用合同条款中的下列词语应具有本款所赋予的含义。 </w:t>
      </w:r>
    </w:p>
    <w:p>
      <w:pPr>
        <w:pStyle w:val="44"/>
        <w:numPr>
          <w:ilvl w:val="2"/>
          <w:numId w:val="22"/>
        </w:numPr>
        <w:tabs>
          <w:tab w:val="left" w:pos="1152"/>
        </w:tabs>
        <w:spacing w:before="122"/>
        <w:ind w:hanging="526"/>
        <w:rPr>
          <w:color w:val="auto"/>
          <w:sz w:val="21"/>
        </w:rPr>
      </w:pPr>
      <w:r>
        <w:rPr>
          <w:color w:val="auto"/>
          <w:sz w:val="21"/>
        </w:rPr>
        <w:t>合同</w:t>
      </w:r>
    </w:p>
    <w:p>
      <w:pPr>
        <w:pStyle w:val="44"/>
        <w:numPr>
          <w:ilvl w:val="3"/>
          <w:numId w:val="22"/>
        </w:numPr>
        <w:tabs>
          <w:tab w:val="left" w:pos="1427"/>
        </w:tabs>
        <w:spacing w:before="120" w:line="417" w:lineRule="auto"/>
        <w:ind w:left="212" w:right="320" w:firstLine="631"/>
        <w:rPr>
          <w:rFonts w:ascii="Times New Roman" w:eastAsia="Times New Roman"/>
          <w:color w:val="auto"/>
          <w:sz w:val="19"/>
        </w:rPr>
      </w:pPr>
      <w:r>
        <w:rPr>
          <w:color w:val="auto"/>
          <w:spacing w:val="-11"/>
          <w:sz w:val="21"/>
        </w:rPr>
        <w:t>合同文件</w:t>
      </w:r>
      <w:r>
        <w:rPr>
          <w:color w:val="auto"/>
          <w:sz w:val="21"/>
        </w:rPr>
        <w:t>（</w:t>
      </w:r>
      <w:r>
        <w:rPr>
          <w:color w:val="auto"/>
          <w:spacing w:val="-3"/>
          <w:sz w:val="21"/>
        </w:rPr>
        <w:t>或称合同</w:t>
      </w:r>
      <w:r>
        <w:rPr>
          <w:color w:val="auto"/>
          <w:spacing w:val="-32"/>
          <w:sz w:val="21"/>
        </w:rPr>
        <w:t>）：</w:t>
      </w:r>
      <w:r>
        <w:rPr>
          <w:color w:val="auto"/>
          <w:spacing w:val="-10"/>
          <w:sz w:val="21"/>
        </w:rPr>
        <w:t>指合同协议书、中标通知书、投标函及投标函附录、专用合同条款、</w:t>
      </w:r>
      <w:r>
        <w:rPr>
          <w:color w:val="auto"/>
          <w:spacing w:val="-5"/>
          <w:sz w:val="21"/>
        </w:rPr>
        <w:t xml:space="preserve">通用合同条款、发包人要求、价格清单、承包人建议书，以及其他构成合同组成部分的文件。 </w:t>
      </w:r>
    </w:p>
    <w:p>
      <w:pPr>
        <w:pStyle w:val="44"/>
        <w:numPr>
          <w:ilvl w:val="3"/>
          <w:numId w:val="22"/>
        </w:numPr>
        <w:tabs>
          <w:tab w:val="left" w:pos="1427"/>
        </w:tabs>
        <w:ind w:left="1426" w:hanging="583"/>
        <w:rPr>
          <w:rFonts w:ascii="Times New Roman" w:eastAsia="Times New Roman"/>
          <w:color w:val="auto"/>
          <w:sz w:val="19"/>
        </w:rPr>
      </w:pPr>
      <w:r>
        <w:rPr>
          <w:color w:val="auto"/>
          <w:spacing w:val="-9"/>
          <w:sz w:val="21"/>
        </w:rPr>
        <w:t xml:space="preserve">合同协议书：指第 </w:t>
      </w:r>
      <w:r>
        <w:rPr>
          <w:rFonts w:ascii="Times New Roman" w:eastAsia="Times New Roman"/>
          <w:color w:val="auto"/>
          <w:sz w:val="21"/>
        </w:rPr>
        <w:t>1.5</w:t>
      </w:r>
      <w:r>
        <w:rPr>
          <w:rFonts w:ascii="Times New Roman" w:eastAsia="Times New Roman"/>
          <w:color w:val="auto"/>
          <w:spacing w:val="1"/>
          <w:sz w:val="21"/>
        </w:rPr>
        <w:t xml:space="preserve"> </w:t>
      </w:r>
      <w:r>
        <w:rPr>
          <w:color w:val="auto"/>
          <w:spacing w:val="-3"/>
          <w:sz w:val="21"/>
        </w:rPr>
        <w:t xml:space="preserve">款所指的合同协议书。 </w:t>
      </w:r>
    </w:p>
    <w:p>
      <w:pPr>
        <w:pStyle w:val="8"/>
        <w:spacing w:before="7"/>
        <w:rPr>
          <w:color w:val="auto"/>
          <w:sz w:val="15"/>
        </w:rPr>
      </w:pP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9"/>
          <w:sz w:val="21"/>
        </w:rPr>
        <w:t>中标通知书：指发包人通知承包人中标的函件。中标通知书随附的澄清、说明、补正事项纪</w:t>
      </w:r>
      <w:r>
        <w:rPr>
          <w:color w:val="auto"/>
          <w:spacing w:val="-5"/>
          <w:sz w:val="21"/>
        </w:rPr>
        <w:t xml:space="preserve">要等，是中标通知书的组成部分。 </w:t>
      </w:r>
    </w:p>
    <w:p>
      <w:pPr>
        <w:pStyle w:val="44"/>
        <w:numPr>
          <w:ilvl w:val="3"/>
          <w:numId w:val="22"/>
        </w:numPr>
        <w:tabs>
          <w:tab w:val="left" w:pos="1427"/>
        </w:tabs>
        <w:spacing w:line="269" w:lineRule="exact"/>
        <w:ind w:left="1426" w:hanging="583"/>
        <w:rPr>
          <w:rFonts w:ascii="Times New Roman" w:eastAsia="Times New Roman"/>
          <w:color w:val="auto"/>
          <w:sz w:val="19"/>
        </w:rPr>
      </w:pPr>
      <w:r>
        <w:rPr>
          <w:color w:val="auto"/>
          <w:spacing w:val="-3"/>
          <w:sz w:val="21"/>
        </w:rPr>
        <w:t>投标函：指构成合同文件组成部分的由承包人填写并签署的投标函。</w:t>
      </w:r>
      <w:r>
        <w:rPr>
          <w:color w:val="auto"/>
          <w:sz w:val="21"/>
        </w:rPr>
        <w:t xml:space="preserve"> </w:t>
      </w:r>
    </w:p>
    <w:p>
      <w:pPr>
        <w:pStyle w:val="8"/>
        <w:spacing w:before="6"/>
        <w:rPr>
          <w:color w:val="auto"/>
          <w:sz w:val="15"/>
        </w:rPr>
      </w:pPr>
    </w:p>
    <w:p>
      <w:pPr>
        <w:pStyle w:val="44"/>
        <w:numPr>
          <w:ilvl w:val="3"/>
          <w:numId w:val="22"/>
        </w:numPr>
        <w:tabs>
          <w:tab w:val="left" w:pos="1427"/>
        </w:tabs>
        <w:spacing w:before="1"/>
        <w:ind w:left="1426" w:hanging="583"/>
        <w:rPr>
          <w:rFonts w:ascii="Times New Roman" w:eastAsia="Times New Roman"/>
          <w:color w:val="auto"/>
          <w:sz w:val="19"/>
        </w:rPr>
      </w:pPr>
      <w:r>
        <w:rPr>
          <w:color w:val="auto"/>
          <w:spacing w:val="-3"/>
          <w:sz w:val="21"/>
        </w:rPr>
        <w:t>投标函附录：指附在投标函后构成合同文件的投标函附录。</w:t>
      </w:r>
      <w:r>
        <w:rPr>
          <w:color w:val="auto"/>
          <w:sz w:val="21"/>
        </w:rPr>
        <w:t xml:space="preserve"> </w:t>
      </w:r>
    </w:p>
    <w:p>
      <w:pPr>
        <w:pStyle w:val="8"/>
        <w:spacing w:before="6"/>
        <w:rPr>
          <w:color w:val="auto"/>
          <w:sz w:val="15"/>
        </w:rPr>
      </w:pP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9"/>
          <w:sz w:val="21"/>
        </w:rPr>
        <w:t>发包人要求：指构成合同文件组成部分的名为发包人要求的文件，包括招标项目的目的、范</w:t>
      </w:r>
      <w:r>
        <w:rPr>
          <w:color w:val="auto"/>
          <w:spacing w:val="-5"/>
          <w:sz w:val="21"/>
        </w:rPr>
        <w:t>围、设计与其他技术标准和要求，以及合同双方当事人约定对其所作的修改或补充。</w:t>
      </w:r>
      <w:r>
        <w:rPr>
          <w:color w:val="auto"/>
          <w:sz w:val="21"/>
        </w:rPr>
        <w:t xml:space="preserve"> </w:t>
      </w:r>
    </w:p>
    <w:p>
      <w:pPr>
        <w:pStyle w:val="44"/>
        <w:numPr>
          <w:ilvl w:val="3"/>
          <w:numId w:val="22"/>
        </w:numPr>
        <w:tabs>
          <w:tab w:val="left" w:pos="1427"/>
        </w:tabs>
        <w:ind w:left="1426" w:hanging="583"/>
        <w:rPr>
          <w:rFonts w:ascii="Times New Roman" w:eastAsia="Times New Roman"/>
          <w:color w:val="auto"/>
          <w:sz w:val="19"/>
        </w:rPr>
      </w:pPr>
      <w:r>
        <w:rPr>
          <w:color w:val="auto"/>
          <w:sz w:val="21"/>
        </w:rPr>
        <w:t>价格清单：指构成合同文件组成部分的由承包人按规定的格式和要求填写并标明价格的清</w:t>
      </w:r>
    </w:p>
    <w:p>
      <w:pPr>
        <w:pStyle w:val="8"/>
        <w:spacing w:before="197"/>
        <w:ind w:left="212"/>
        <w:rPr>
          <w:color w:val="auto"/>
        </w:rPr>
      </w:pPr>
      <w:r>
        <w:rPr>
          <w:color w:val="auto"/>
        </w:rPr>
        <w:t xml:space="preserve">单。 </w:t>
      </w:r>
    </w:p>
    <w:p>
      <w:pPr>
        <w:pStyle w:val="8"/>
        <w:spacing w:before="6"/>
        <w:rPr>
          <w:color w:val="auto"/>
          <w:sz w:val="15"/>
        </w:rPr>
      </w:pPr>
    </w:p>
    <w:p>
      <w:pPr>
        <w:pStyle w:val="44"/>
        <w:numPr>
          <w:ilvl w:val="3"/>
          <w:numId w:val="22"/>
        </w:numPr>
        <w:tabs>
          <w:tab w:val="left" w:pos="1476"/>
        </w:tabs>
        <w:spacing w:before="1" w:line="417" w:lineRule="auto"/>
        <w:ind w:left="212" w:right="426" w:firstLine="631"/>
        <w:rPr>
          <w:rFonts w:ascii="Times New Roman" w:eastAsia="Times New Roman"/>
          <w:color w:val="auto"/>
          <w:sz w:val="21"/>
        </w:rPr>
      </w:pPr>
      <w:r>
        <w:rPr>
          <w:color w:val="auto"/>
          <w:spacing w:val="-6"/>
          <w:sz w:val="21"/>
        </w:rPr>
        <w:t>承包人建议书：指构成合同文件组成部分的名为承包人建议书的文件。承包人建议书由承包</w:t>
      </w:r>
      <w:r>
        <w:rPr>
          <w:color w:val="auto"/>
          <w:spacing w:val="-4"/>
          <w:sz w:val="21"/>
        </w:rPr>
        <w:t xml:space="preserve">人随投标函一起提交。承包人建议书应包括承包人的设计图纸及相应说明等设计文件。 </w:t>
      </w:r>
    </w:p>
    <w:p>
      <w:pPr>
        <w:pStyle w:val="8"/>
        <w:spacing w:line="269" w:lineRule="exact"/>
        <w:ind w:left="844"/>
        <w:rPr>
          <w:color w:val="auto"/>
        </w:rPr>
      </w:pPr>
      <w:r>
        <w:rPr>
          <w:color w:val="auto"/>
        </w:rPr>
        <w:t xml:space="preserve"> </w:t>
      </w:r>
      <w:r>
        <w:rPr>
          <w:rFonts w:ascii="Times New Roman" w:eastAsia="Times New Roman"/>
          <w:color w:val="auto"/>
        </w:rPr>
        <w:t xml:space="preserve">1.1.1.9 </w:t>
      </w:r>
      <w:r>
        <w:rPr>
          <w:color w:val="auto"/>
        </w:rPr>
        <w:t xml:space="preserve">其他合同文件：指经合同双方当事人确认构成合同文件的其他文件。 </w:t>
      </w:r>
    </w:p>
    <w:p>
      <w:pPr>
        <w:pStyle w:val="44"/>
        <w:numPr>
          <w:ilvl w:val="2"/>
          <w:numId w:val="22"/>
        </w:numPr>
        <w:tabs>
          <w:tab w:val="left" w:pos="1152"/>
        </w:tabs>
        <w:spacing w:before="122"/>
        <w:ind w:hanging="526"/>
        <w:rPr>
          <w:color w:val="auto"/>
          <w:sz w:val="21"/>
        </w:rPr>
      </w:pPr>
      <w:r>
        <w:rPr>
          <w:color w:val="auto"/>
          <w:spacing w:val="-3"/>
          <w:sz w:val="21"/>
        </w:rPr>
        <w:t>合同当事人和人员</w:t>
      </w:r>
    </w:p>
    <w:p>
      <w:pPr>
        <w:pStyle w:val="44"/>
        <w:numPr>
          <w:ilvl w:val="3"/>
          <w:numId w:val="22"/>
        </w:numPr>
        <w:tabs>
          <w:tab w:val="left" w:pos="1427"/>
        </w:tabs>
        <w:spacing w:before="120"/>
        <w:ind w:left="1426" w:hanging="583"/>
        <w:rPr>
          <w:rFonts w:ascii="Times New Roman" w:eastAsia="Times New Roman"/>
          <w:color w:val="auto"/>
          <w:sz w:val="19"/>
        </w:rPr>
      </w:pPr>
      <w:r>
        <w:rPr>
          <w:color w:val="auto"/>
          <w:spacing w:val="-3"/>
          <w:sz w:val="21"/>
        </w:rPr>
        <w:t>合同当事人：指发包人和</w:t>
      </w:r>
      <w:r>
        <w:rPr>
          <w:color w:val="auto"/>
          <w:sz w:val="21"/>
        </w:rPr>
        <w:t>（</w:t>
      </w:r>
      <w:r>
        <w:rPr>
          <w:color w:val="auto"/>
          <w:spacing w:val="-3"/>
          <w:sz w:val="21"/>
        </w:rPr>
        <w:t>或</w:t>
      </w:r>
      <w:r>
        <w:rPr>
          <w:color w:val="auto"/>
          <w:sz w:val="21"/>
        </w:rPr>
        <w:t>）</w:t>
      </w:r>
      <w:r>
        <w:rPr>
          <w:color w:val="auto"/>
          <w:spacing w:val="-3"/>
          <w:sz w:val="21"/>
        </w:rPr>
        <w:t>承包人。</w:t>
      </w:r>
      <w:r>
        <w:rPr>
          <w:color w:val="auto"/>
          <w:sz w:val="21"/>
        </w:rPr>
        <w:t xml:space="preserve"> </w:t>
      </w:r>
    </w:p>
    <w:p>
      <w:pPr>
        <w:pStyle w:val="8"/>
        <w:spacing w:before="6"/>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 xml:space="preserve">发包人：指专用合同条款中指明并与承包人在合同协议书中签字的当事人。 </w:t>
      </w:r>
    </w:p>
    <w:p>
      <w:pPr>
        <w:pStyle w:val="8"/>
        <w:spacing w:before="7"/>
        <w:rPr>
          <w:color w:val="auto"/>
          <w:sz w:val="15"/>
        </w:rPr>
      </w:pPr>
    </w:p>
    <w:p>
      <w:pPr>
        <w:pStyle w:val="44"/>
        <w:numPr>
          <w:ilvl w:val="3"/>
          <w:numId w:val="22"/>
        </w:numPr>
        <w:tabs>
          <w:tab w:val="left" w:pos="1427"/>
        </w:tabs>
        <w:spacing w:before="1"/>
        <w:ind w:left="1426" w:hanging="583"/>
        <w:rPr>
          <w:rFonts w:ascii="Times New Roman" w:eastAsia="Times New Roman"/>
          <w:color w:val="auto"/>
          <w:sz w:val="19"/>
        </w:rPr>
      </w:pPr>
      <w:r>
        <w:rPr>
          <w:color w:val="auto"/>
          <w:spacing w:val="-3"/>
          <w:sz w:val="21"/>
        </w:rPr>
        <w:t>承包人：指与发包人签订合同协议书的当事人。</w:t>
      </w:r>
      <w:r>
        <w:rPr>
          <w:color w:val="auto"/>
          <w:sz w:val="21"/>
        </w:rPr>
        <w:t xml:space="preserve"> </w:t>
      </w:r>
    </w:p>
    <w:p>
      <w:pPr>
        <w:pStyle w:val="8"/>
        <w:spacing w:before="6"/>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承包人项目经理：指承包人指定代表承包人履行义务的负责人。</w:t>
      </w:r>
      <w:r>
        <w:rPr>
          <w:color w:val="auto"/>
          <w:sz w:val="21"/>
        </w:rPr>
        <w:t xml:space="preserve"> </w:t>
      </w:r>
    </w:p>
    <w:p>
      <w:pPr>
        <w:pStyle w:val="8"/>
        <w:spacing w:before="7"/>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设计负责人：指承包人指定负责组织指导协调设计工作并具有相应资格的人员。</w:t>
      </w:r>
      <w:r>
        <w:rPr>
          <w:color w:val="auto"/>
          <w:sz w:val="21"/>
        </w:rPr>
        <w:t xml:space="preserve"> </w:t>
      </w:r>
    </w:p>
    <w:p>
      <w:pPr>
        <w:pStyle w:val="8"/>
        <w:spacing w:before="7"/>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施工负责人：指承包人指定负责组织指导协调施工工作并具有相应资格的人员。</w:t>
      </w:r>
      <w:r>
        <w:rPr>
          <w:color w:val="auto"/>
          <w:sz w:val="21"/>
        </w:rPr>
        <w:t xml:space="preserve"> </w:t>
      </w:r>
    </w:p>
    <w:p>
      <w:pPr>
        <w:pStyle w:val="8"/>
        <w:spacing w:before="6"/>
        <w:rPr>
          <w:color w:val="auto"/>
          <w:sz w:val="15"/>
        </w:rPr>
      </w:pPr>
    </w:p>
    <w:p>
      <w:pPr>
        <w:pStyle w:val="44"/>
        <w:numPr>
          <w:ilvl w:val="3"/>
          <w:numId w:val="22"/>
        </w:numPr>
        <w:tabs>
          <w:tab w:val="left" w:pos="1427"/>
        </w:tabs>
        <w:spacing w:before="1"/>
        <w:ind w:left="1426" w:hanging="583"/>
        <w:rPr>
          <w:rFonts w:ascii="Times New Roman" w:eastAsia="Times New Roman"/>
          <w:color w:val="auto"/>
          <w:sz w:val="19"/>
        </w:rPr>
      </w:pPr>
      <w:r>
        <w:rPr>
          <w:color w:val="auto"/>
          <w:spacing w:val="-3"/>
          <w:sz w:val="21"/>
        </w:rPr>
        <w:t>采购负责人：指承包人指定负责组织指导协调采购工作的人员。</w:t>
      </w:r>
      <w:r>
        <w:rPr>
          <w:color w:val="auto"/>
          <w:sz w:val="21"/>
        </w:rPr>
        <w:t xml:space="preserve"> </w:t>
      </w:r>
    </w:p>
    <w:p>
      <w:pPr>
        <w:pStyle w:val="8"/>
        <w:spacing w:before="6"/>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 xml:space="preserve">分包人：指从承包人处分包合同中某一部分工作，并与其签订分包合同的分包人。 </w:t>
      </w:r>
    </w:p>
    <w:p>
      <w:pPr>
        <w:pStyle w:val="8"/>
        <w:spacing w:before="7"/>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17"/>
          <w:sz w:val="21"/>
        </w:rPr>
        <w:t>监理人：指在专用合同条款中指明的，受发包人委托对合同履行实施管理的法人或其他组织。</w:t>
      </w:r>
    </w:p>
    <w:p>
      <w:pPr>
        <w:rPr>
          <w:rFonts w:ascii="Times New Roman" w:eastAsia="Times New Roman"/>
          <w:color w:val="auto"/>
          <w:sz w:val="19"/>
        </w:rPr>
        <w:sectPr>
          <w:pgSz w:w="11910" w:h="16840"/>
          <w:pgMar w:top="1580" w:right="700" w:bottom="1180" w:left="920" w:header="0" w:footer="995" w:gutter="0"/>
          <w:cols w:space="720" w:num="1"/>
        </w:sectPr>
      </w:pPr>
    </w:p>
    <w:p>
      <w:pPr>
        <w:pStyle w:val="8"/>
        <w:spacing w:before="45"/>
        <w:ind w:left="212"/>
        <w:rPr>
          <w:color w:val="auto"/>
        </w:rPr>
      </w:pPr>
      <w:r>
        <w:rPr>
          <w:color w:val="auto"/>
        </w:rPr>
        <w:t xml:space="preserve">属于国家强制监理的，监理人应当具有相应的监理资质。 </w:t>
      </w:r>
    </w:p>
    <w:p>
      <w:pPr>
        <w:pStyle w:val="8"/>
        <w:spacing w:before="7"/>
        <w:rPr>
          <w:color w:val="auto"/>
          <w:sz w:val="15"/>
        </w:rPr>
      </w:pPr>
    </w:p>
    <w:p>
      <w:pPr>
        <w:pStyle w:val="8"/>
        <w:ind w:left="844"/>
        <w:rPr>
          <w:color w:val="auto"/>
        </w:rPr>
      </w:pPr>
      <w:r>
        <w:rPr>
          <w:rFonts w:ascii="Times New Roman" w:eastAsia="Times New Roman"/>
          <w:color w:val="auto"/>
        </w:rPr>
        <w:t>1.1.2.7</w:t>
      </w:r>
      <w:r>
        <w:rPr>
          <w:rFonts w:ascii="Times New Roman" w:eastAsia="Times New Roman"/>
          <w:color w:val="auto"/>
          <w:spacing w:val="52"/>
        </w:rPr>
        <w:t xml:space="preserve"> </w:t>
      </w:r>
      <w:r>
        <w:rPr>
          <w:color w:val="auto"/>
          <w:spacing w:val="-3"/>
        </w:rPr>
        <w:t>总监理工程师：指由监理人委派对合同履行实施管理的全权负责人。</w:t>
      </w:r>
      <w:r>
        <w:rPr>
          <w:color w:val="auto"/>
        </w:rPr>
        <w:t xml:space="preserve"> </w:t>
      </w:r>
    </w:p>
    <w:p>
      <w:pPr>
        <w:pStyle w:val="44"/>
        <w:numPr>
          <w:ilvl w:val="2"/>
          <w:numId w:val="22"/>
        </w:numPr>
        <w:tabs>
          <w:tab w:val="left" w:pos="1152"/>
        </w:tabs>
        <w:spacing w:before="122"/>
        <w:ind w:hanging="526"/>
        <w:rPr>
          <w:color w:val="auto"/>
          <w:sz w:val="21"/>
        </w:rPr>
      </w:pPr>
      <w:r>
        <w:rPr>
          <w:color w:val="auto"/>
          <w:spacing w:val="-3"/>
          <w:sz w:val="21"/>
        </w:rPr>
        <w:t>工程和设备</w:t>
      </w:r>
    </w:p>
    <w:p>
      <w:pPr>
        <w:pStyle w:val="44"/>
        <w:numPr>
          <w:ilvl w:val="3"/>
          <w:numId w:val="22"/>
        </w:numPr>
        <w:tabs>
          <w:tab w:val="left" w:pos="1427"/>
        </w:tabs>
        <w:spacing w:before="120"/>
        <w:ind w:left="1426" w:hanging="583"/>
        <w:rPr>
          <w:rFonts w:ascii="Times New Roman" w:eastAsia="Times New Roman"/>
          <w:color w:val="auto"/>
          <w:sz w:val="19"/>
        </w:rPr>
      </w:pPr>
      <w:r>
        <w:rPr>
          <w:color w:val="auto"/>
          <w:spacing w:val="-3"/>
          <w:sz w:val="21"/>
        </w:rPr>
        <w:t>工程：指永久工程和</w:t>
      </w:r>
      <w:r>
        <w:rPr>
          <w:color w:val="auto"/>
          <w:sz w:val="21"/>
        </w:rPr>
        <w:t>（</w:t>
      </w:r>
      <w:r>
        <w:rPr>
          <w:color w:val="auto"/>
          <w:spacing w:val="-3"/>
          <w:sz w:val="21"/>
        </w:rPr>
        <w:t>或</w:t>
      </w:r>
      <w:r>
        <w:rPr>
          <w:color w:val="auto"/>
          <w:sz w:val="21"/>
        </w:rPr>
        <w:t>）</w:t>
      </w:r>
      <w:r>
        <w:rPr>
          <w:color w:val="auto"/>
          <w:spacing w:val="-3"/>
          <w:sz w:val="21"/>
        </w:rPr>
        <w:t>临时工程。</w:t>
      </w:r>
      <w:r>
        <w:rPr>
          <w:color w:val="auto"/>
          <w:sz w:val="21"/>
        </w:rPr>
        <w:t xml:space="preserve"> </w:t>
      </w:r>
    </w:p>
    <w:p>
      <w:pPr>
        <w:pStyle w:val="8"/>
        <w:spacing w:before="6"/>
        <w:rPr>
          <w:color w:val="auto"/>
          <w:sz w:val="15"/>
        </w:rPr>
      </w:pPr>
    </w:p>
    <w:p>
      <w:pPr>
        <w:pStyle w:val="44"/>
        <w:numPr>
          <w:ilvl w:val="3"/>
          <w:numId w:val="22"/>
        </w:numPr>
        <w:tabs>
          <w:tab w:val="left" w:pos="1427"/>
        </w:tabs>
        <w:spacing w:before="1"/>
        <w:ind w:left="1426" w:hanging="583"/>
        <w:rPr>
          <w:rFonts w:ascii="Times New Roman" w:eastAsia="Times New Roman"/>
          <w:color w:val="auto"/>
          <w:sz w:val="19"/>
        </w:rPr>
      </w:pPr>
      <w:r>
        <w:rPr>
          <w:color w:val="auto"/>
          <w:spacing w:val="-3"/>
          <w:sz w:val="21"/>
        </w:rPr>
        <w:t xml:space="preserve">永久工程：指按合同约定建造并移交给发包人的工程，包括工程设备。 </w:t>
      </w:r>
    </w:p>
    <w:p>
      <w:pPr>
        <w:pStyle w:val="8"/>
        <w:spacing w:before="6"/>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临时工程：指为完成合同约定的永久工程所修建的各类临时性工程，不包括施工设备。</w:t>
      </w:r>
      <w:r>
        <w:rPr>
          <w:color w:val="auto"/>
          <w:sz w:val="21"/>
        </w:rPr>
        <w:t xml:space="preserve"> </w:t>
      </w:r>
    </w:p>
    <w:p>
      <w:pPr>
        <w:pStyle w:val="8"/>
        <w:spacing w:before="7"/>
        <w:rPr>
          <w:color w:val="auto"/>
          <w:sz w:val="15"/>
        </w:rPr>
      </w:pPr>
    </w:p>
    <w:p>
      <w:pPr>
        <w:pStyle w:val="44"/>
        <w:numPr>
          <w:ilvl w:val="3"/>
          <w:numId w:val="22"/>
        </w:numPr>
        <w:tabs>
          <w:tab w:val="left" w:pos="1529"/>
        </w:tabs>
        <w:ind w:left="1528" w:hanging="685"/>
        <w:rPr>
          <w:rFonts w:ascii="Times New Roman" w:eastAsia="Times New Roman"/>
          <w:color w:val="auto"/>
          <w:sz w:val="21"/>
        </w:rPr>
      </w:pPr>
      <w:r>
        <w:rPr>
          <w:color w:val="auto"/>
          <w:spacing w:val="-3"/>
          <w:sz w:val="21"/>
        </w:rPr>
        <w:t>区段工程：指专用合同条款中指明特定范围的能单独接收并使用的永久工程。</w:t>
      </w:r>
      <w:r>
        <w:rPr>
          <w:color w:val="auto"/>
          <w:sz w:val="21"/>
        </w:rPr>
        <w:t xml:space="preserve"> </w:t>
      </w:r>
    </w:p>
    <w:p>
      <w:pPr>
        <w:pStyle w:val="8"/>
        <w:spacing w:before="7"/>
        <w:rPr>
          <w:color w:val="auto"/>
          <w:sz w:val="15"/>
        </w:rPr>
      </w:pP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9"/>
          <w:sz w:val="21"/>
        </w:rPr>
        <w:t>工程设备：指构成或计划构成永久工程的机电设备、仪器装置、运载工具及其他类似的设备</w:t>
      </w:r>
      <w:r>
        <w:rPr>
          <w:color w:val="auto"/>
          <w:spacing w:val="-6"/>
          <w:sz w:val="21"/>
        </w:rPr>
        <w:t xml:space="preserve">和装置。 </w:t>
      </w: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9"/>
          <w:sz w:val="21"/>
        </w:rPr>
        <w:t xml:space="preserve">施工设备：指为完成合同约定的各项工作所需的设备、器具和其他物品，不包括临时工程和材料。 </w:t>
      </w:r>
    </w:p>
    <w:p>
      <w:pPr>
        <w:pStyle w:val="44"/>
        <w:numPr>
          <w:ilvl w:val="3"/>
          <w:numId w:val="22"/>
        </w:numPr>
        <w:tabs>
          <w:tab w:val="left" w:pos="1529"/>
        </w:tabs>
        <w:spacing w:line="269" w:lineRule="exact"/>
        <w:ind w:left="1528" w:hanging="685"/>
        <w:rPr>
          <w:rFonts w:ascii="Times New Roman" w:eastAsia="Times New Roman"/>
          <w:color w:val="auto"/>
          <w:sz w:val="21"/>
        </w:rPr>
      </w:pPr>
      <w:r>
        <w:rPr>
          <w:color w:val="auto"/>
          <w:spacing w:val="-3"/>
          <w:sz w:val="21"/>
        </w:rPr>
        <w:t xml:space="preserve">临时设施：指为完成合同约定的各项工作所服务的临时性生产和生活设施。 </w:t>
      </w:r>
    </w:p>
    <w:p>
      <w:pPr>
        <w:pStyle w:val="8"/>
        <w:spacing w:before="7"/>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3"/>
          <w:sz w:val="21"/>
        </w:rPr>
        <w:t>承包人设备：指承包人为工程实施提供的施工设备。</w:t>
      </w:r>
      <w:r>
        <w:rPr>
          <w:color w:val="auto"/>
          <w:sz w:val="21"/>
        </w:rPr>
        <w:t xml:space="preserve"> </w:t>
      </w:r>
    </w:p>
    <w:p>
      <w:pPr>
        <w:pStyle w:val="8"/>
        <w:spacing w:before="6"/>
        <w:rPr>
          <w:color w:val="auto"/>
          <w:sz w:val="15"/>
        </w:rPr>
      </w:pPr>
    </w:p>
    <w:p>
      <w:pPr>
        <w:pStyle w:val="44"/>
        <w:numPr>
          <w:ilvl w:val="3"/>
          <w:numId w:val="22"/>
        </w:numPr>
        <w:tabs>
          <w:tab w:val="left" w:pos="1427"/>
        </w:tabs>
        <w:spacing w:before="1" w:line="417" w:lineRule="auto"/>
        <w:ind w:left="212" w:right="428" w:firstLine="631"/>
        <w:rPr>
          <w:rFonts w:ascii="Times New Roman" w:eastAsia="Times New Roman"/>
          <w:color w:val="auto"/>
          <w:sz w:val="19"/>
        </w:rPr>
      </w:pPr>
      <w:r>
        <w:rPr>
          <w:color w:val="auto"/>
          <w:spacing w:val="-6"/>
          <w:sz w:val="21"/>
        </w:rPr>
        <w:t>施工场地</w:t>
      </w:r>
      <w:r>
        <w:rPr>
          <w:color w:val="auto"/>
          <w:spacing w:val="-3"/>
          <w:sz w:val="21"/>
        </w:rPr>
        <w:t>（</w:t>
      </w:r>
      <w:r>
        <w:rPr>
          <w:color w:val="auto"/>
          <w:spacing w:val="-5"/>
          <w:sz w:val="21"/>
        </w:rPr>
        <w:t>或称工地、现场</w:t>
      </w:r>
      <w:r>
        <w:rPr>
          <w:color w:val="auto"/>
          <w:spacing w:val="-16"/>
          <w:sz w:val="21"/>
        </w:rPr>
        <w:t>）</w:t>
      </w:r>
      <w:r>
        <w:rPr>
          <w:color w:val="auto"/>
          <w:spacing w:val="-6"/>
          <w:sz w:val="21"/>
        </w:rPr>
        <w:t>：指用于合同工程施工的场所，以及在合同中指定作为施工场</w:t>
      </w:r>
      <w:r>
        <w:rPr>
          <w:color w:val="auto"/>
          <w:spacing w:val="-4"/>
          <w:sz w:val="21"/>
        </w:rPr>
        <w:t xml:space="preserve">地组成部分的其他场所，包括永久占地和临时占地。 </w:t>
      </w:r>
    </w:p>
    <w:p>
      <w:pPr>
        <w:pStyle w:val="44"/>
        <w:numPr>
          <w:ilvl w:val="3"/>
          <w:numId w:val="22"/>
        </w:numPr>
        <w:tabs>
          <w:tab w:val="left" w:pos="1530"/>
        </w:tabs>
        <w:spacing w:line="269" w:lineRule="exact"/>
        <w:ind w:left="1529" w:hanging="686"/>
        <w:rPr>
          <w:rFonts w:ascii="Times New Roman" w:eastAsia="Times New Roman"/>
          <w:color w:val="auto"/>
          <w:sz w:val="19"/>
        </w:rPr>
      </w:pPr>
      <w:r>
        <w:rPr>
          <w:color w:val="auto"/>
          <w:spacing w:val="-3"/>
          <w:sz w:val="21"/>
        </w:rPr>
        <w:t xml:space="preserve">永久占地：指专用合同条款中指明为实施合同工程需永久占用的土地。 </w:t>
      </w:r>
    </w:p>
    <w:p>
      <w:pPr>
        <w:pStyle w:val="8"/>
        <w:spacing w:before="7"/>
        <w:rPr>
          <w:color w:val="auto"/>
          <w:sz w:val="15"/>
        </w:rPr>
      </w:pPr>
    </w:p>
    <w:p>
      <w:pPr>
        <w:pStyle w:val="44"/>
        <w:numPr>
          <w:ilvl w:val="3"/>
          <w:numId w:val="22"/>
        </w:numPr>
        <w:tabs>
          <w:tab w:val="left" w:pos="1523"/>
        </w:tabs>
        <w:ind w:left="1522" w:hanging="679"/>
        <w:rPr>
          <w:rFonts w:ascii="Times New Roman" w:eastAsia="Times New Roman"/>
          <w:color w:val="auto"/>
          <w:sz w:val="19"/>
        </w:rPr>
      </w:pPr>
      <w:r>
        <w:rPr>
          <w:color w:val="auto"/>
          <w:spacing w:val="-3"/>
          <w:sz w:val="21"/>
        </w:rPr>
        <w:t xml:space="preserve">临时占地：指专用合同条款中指明为实施合同工程需临时占用的土地。 </w:t>
      </w:r>
    </w:p>
    <w:p>
      <w:pPr>
        <w:pStyle w:val="44"/>
        <w:numPr>
          <w:ilvl w:val="2"/>
          <w:numId w:val="22"/>
        </w:numPr>
        <w:tabs>
          <w:tab w:val="left" w:pos="1152"/>
        </w:tabs>
        <w:spacing w:before="122"/>
        <w:ind w:hanging="526"/>
        <w:rPr>
          <w:color w:val="auto"/>
          <w:sz w:val="21"/>
        </w:rPr>
      </w:pPr>
      <w:r>
        <w:rPr>
          <w:color w:val="auto"/>
          <w:spacing w:val="-3"/>
          <w:sz w:val="21"/>
        </w:rPr>
        <w:t>日期、检验和竣工</w:t>
      </w:r>
    </w:p>
    <w:p>
      <w:pPr>
        <w:pStyle w:val="44"/>
        <w:numPr>
          <w:ilvl w:val="3"/>
          <w:numId w:val="22"/>
        </w:numPr>
        <w:tabs>
          <w:tab w:val="left" w:pos="1427"/>
        </w:tabs>
        <w:spacing w:before="120"/>
        <w:ind w:left="1426" w:hanging="583"/>
        <w:rPr>
          <w:rFonts w:ascii="Times New Roman" w:eastAsia="Times New Roman"/>
          <w:color w:val="auto"/>
          <w:sz w:val="19"/>
        </w:rPr>
      </w:pPr>
      <w:r>
        <w:rPr>
          <w:color w:val="auto"/>
          <w:spacing w:val="-7"/>
          <w:sz w:val="21"/>
        </w:rPr>
        <w:t xml:space="preserve">开始工作通知：指监理人按第 </w:t>
      </w:r>
      <w:r>
        <w:rPr>
          <w:color w:val="auto"/>
          <w:sz w:val="21"/>
        </w:rPr>
        <w:t>11.1</w:t>
      </w:r>
      <w:r>
        <w:rPr>
          <w:color w:val="auto"/>
          <w:spacing w:val="-3"/>
          <w:sz w:val="21"/>
        </w:rPr>
        <w:t xml:space="preserve"> 款通知承包人开始工作的函件。</w:t>
      </w:r>
      <w:r>
        <w:rPr>
          <w:color w:val="auto"/>
          <w:sz w:val="21"/>
        </w:rPr>
        <w:t xml:space="preserve"> </w:t>
      </w:r>
    </w:p>
    <w:p>
      <w:pPr>
        <w:pStyle w:val="8"/>
        <w:spacing w:before="6"/>
        <w:rPr>
          <w:color w:val="auto"/>
          <w:sz w:val="15"/>
        </w:rPr>
      </w:pPr>
    </w:p>
    <w:p>
      <w:pPr>
        <w:pStyle w:val="44"/>
        <w:numPr>
          <w:ilvl w:val="3"/>
          <w:numId w:val="22"/>
        </w:numPr>
        <w:tabs>
          <w:tab w:val="left" w:pos="1529"/>
        </w:tabs>
        <w:ind w:left="1528" w:hanging="685"/>
        <w:rPr>
          <w:rFonts w:ascii="Times New Roman" w:eastAsia="Times New Roman"/>
          <w:color w:val="auto"/>
          <w:sz w:val="21"/>
        </w:rPr>
      </w:pPr>
      <w:r>
        <w:rPr>
          <w:color w:val="auto"/>
          <w:spacing w:val="-7"/>
          <w:sz w:val="21"/>
        </w:rPr>
        <w:t xml:space="preserve">开始工作日期：指监理人按第 </w:t>
      </w:r>
      <w:r>
        <w:rPr>
          <w:color w:val="auto"/>
          <w:sz w:val="21"/>
        </w:rPr>
        <w:t>11.1</w:t>
      </w:r>
      <w:r>
        <w:rPr>
          <w:color w:val="auto"/>
          <w:spacing w:val="-9"/>
          <w:sz w:val="21"/>
        </w:rPr>
        <w:t xml:space="preserve"> 款发出的开始工作通知中写明的开始工作日期。</w:t>
      </w:r>
      <w:r>
        <w:rPr>
          <w:color w:val="auto"/>
          <w:sz w:val="21"/>
        </w:rPr>
        <w:t xml:space="preserve"> </w:t>
      </w:r>
    </w:p>
    <w:p>
      <w:pPr>
        <w:pStyle w:val="8"/>
        <w:spacing w:before="7"/>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10"/>
          <w:sz w:val="21"/>
        </w:rPr>
        <w:t xml:space="preserve">工期：指承包人在投标函中承诺的完成合同工作所需的期限，包括按第 </w:t>
      </w:r>
      <w:r>
        <w:rPr>
          <w:color w:val="auto"/>
          <w:sz w:val="21"/>
        </w:rPr>
        <w:t>11.3</w:t>
      </w:r>
      <w:r>
        <w:rPr>
          <w:color w:val="auto"/>
          <w:spacing w:val="-27"/>
          <w:sz w:val="21"/>
        </w:rPr>
        <w:t xml:space="preserve"> 款、第 </w:t>
      </w:r>
      <w:r>
        <w:rPr>
          <w:color w:val="auto"/>
          <w:sz w:val="21"/>
        </w:rPr>
        <w:t>11.4</w:t>
      </w:r>
      <w:r>
        <w:rPr>
          <w:color w:val="auto"/>
          <w:spacing w:val="-25"/>
          <w:sz w:val="21"/>
        </w:rPr>
        <w:t xml:space="preserve"> 款</w:t>
      </w:r>
    </w:p>
    <w:p>
      <w:pPr>
        <w:pStyle w:val="8"/>
        <w:spacing w:before="7"/>
        <w:rPr>
          <w:color w:val="auto"/>
          <w:sz w:val="15"/>
        </w:rPr>
      </w:pPr>
    </w:p>
    <w:p>
      <w:pPr>
        <w:pStyle w:val="8"/>
        <w:ind w:left="212"/>
        <w:rPr>
          <w:color w:val="auto"/>
        </w:rPr>
      </w:pPr>
      <w:r>
        <w:rPr>
          <w:color w:val="auto"/>
        </w:rPr>
        <w:t xml:space="preserve">和第 11.6 款约定所作的变更。 </w:t>
      </w:r>
    </w:p>
    <w:p>
      <w:pPr>
        <w:pStyle w:val="8"/>
        <w:spacing w:before="7"/>
        <w:rPr>
          <w:color w:val="auto"/>
          <w:sz w:val="15"/>
        </w:rPr>
      </w:pP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14"/>
          <w:sz w:val="21"/>
        </w:rPr>
        <w:t xml:space="preserve">竣工日期：指第 </w:t>
      </w:r>
      <w:r>
        <w:rPr>
          <w:color w:val="auto"/>
          <w:sz w:val="21"/>
        </w:rPr>
        <w:t>1.1.4.3</w:t>
      </w:r>
      <w:r>
        <w:rPr>
          <w:color w:val="auto"/>
          <w:spacing w:val="-11"/>
          <w:sz w:val="21"/>
        </w:rPr>
        <w:t xml:space="preserve"> 目约定工期届满时的日期。实际竣工日期以工程接收证书中写明的</w:t>
      </w:r>
      <w:r>
        <w:rPr>
          <w:color w:val="auto"/>
          <w:spacing w:val="-7"/>
          <w:sz w:val="21"/>
        </w:rPr>
        <w:t>日期为准。</w:t>
      </w:r>
      <w:r>
        <w:rPr>
          <w:color w:val="auto"/>
          <w:sz w:val="21"/>
        </w:rPr>
        <w:t xml:space="preserve"> </w:t>
      </w: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6"/>
          <w:sz w:val="21"/>
        </w:rPr>
        <w:t xml:space="preserve">缺陷责任期：指履行第 </w:t>
      </w:r>
      <w:r>
        <w:rPr>
          <w:color w:val="auto"/>
          <w:sz w:val="21"/>
        </w:rPr>
        <w:t>19.2</w:t>
      </w:r>
      <w:r>
        <w:rPr>
          <w:color w:val="auto"/>
          <w:spacing w:val="-7"/>
          <w:sz w:val="21"/>
        </w:rPr>
        <w:t xml:space="preserve"> 款约定的缺陷责任的期限，具体期限在发包人要求中明确的包</w:t>
      </w:r>
      <w:r>
        <w:rPr>
          <w:color w:val="auto"/>
          <w:spacing w:val="-15"/>
          <w:sz w:val="21"/>
        </w:rPr>
        <w:t xml:space="preserve">括根据第 </w:t>
      </w:r>
      <w:r>
        <w:rPr>
          <w:color w:val="auto"/>
          <w:sz w:val="21"/>
        </w:rPr>
        <w:t>19.3</w:t>
      </w:r>
      <w:r>
        <w:rPr>
          <w:color w:val="auto"/>
          <w:spacing w:val="-3"/>
          <w:sz w:val="21"/>
        </w:rPr>
        <w:t xml:space="preserve"> 款约定所作的延长。</w:t>
      </w:r>
      <w:r>
        <w:rPr>
          <w:color w:val="auto"/>
          <w:sz w:val="21"/>
        </w:rPr>
        <w:t xml:space="preserve"> </w:t>
      </w:r>
    </w:p>
    <w:p>
      <w:pPr>
        <w:pStyle w:val="44"/>
        <w:numPr>
          <w:ilvl w:val="3"/>
          <w:numId w:val="22"/>
        </w:numPr>
        <w:tabs>
          <w:tab w:val="left" w:pos="1427"/>
        </w:tabs>
        <w:spacing w:line="269" w:lineRule="exact"/>
        <w:ind w:left="1426" w:hanging="583"/>
        <w:rPr>
          <w:rFonts w:ascii="Times New Roman" w:eastAsia="Times New Roman"/>
          <w:color w:val="auto"/>
          <w:sz w:val="19"/>
        </w:rPr>
      </w:pPr>
      <w:r>
        <w:rPr>
          <w:color w:val="auto"/>
          <w:spacing w:val="-7"/>
          <w:sz w:val="21"/>
        </w:rPr>
        <w:t xml:space="preserve">基准日期：指投标截止之日前 </w:t>
      </w:r>
      <w:r>
        <w:rPr>
          <w:color w:val="auto"/>
          <w:sz w:val="21"/>
        </w:rPr>
        <w:t>28</w:t>
      </w:r>
      <w:r>
        <w:rPr>
          <w:color w:val="auto"/>
          <w:spacing w:val="-12"/>
          <w:sz w:val="21"/>
        </w:rPr>
        <w:t xml:space="preserve"> 天的日期。</w:t>
      </w:r>
      <w:r>
        <w:rPr>
          <w:color w:val="auto"/>
          <w:sz w:val="21"/>
        </w:rPr>
        <w:t xml:space="preserve"> </w:t>
      </w:r>
    </w:p>
    <w:p>
      <w:pPr>
        <w:pStyle w:val="8"/>
        <w:spacing w:before="7"/>
        <w:rPr>
          <w:color w:val="auto"/>
          <w:sz w:val="15"/>
        </w:rPr>
      </w:pPr>
    </w:p>
    <w:p>
      <w:pPr>
        <w:pStyle w:val="44"/>
        <w:numPr>
          <w:ilvl w:val="3"/>
          <w:numId w:val="22"/>
        </w:numPr>
        <w:tabs>
          <w:tab w:val="left" w:pos="1427"/>
        </w:tabs>
        <w:spacing w:line="417" w:lineRule="auto"/>
        <w:ind w:left="212" w:right="324" w:firstLine="631"/>
        <w:rPr>
          <w:rFonts w:ascii="Times New Roman" w:eastAsia="Times New Roman"/>
          <w:color w:val="auto"/>
          <w:sz w:val="19"/>
        </w:rPr>
      </w:pPr>
      <w:r>
        <w:rPr>
          <w:color w:val="auto"/>
          <w:spacing w:val="-16"/>
          <w:sz w:val="21"/>
        </w:rPr>
        <w:t>天：除特别指明外，指日历天。合同中按天计算时间的，开始当天不计入，从次日开始计算。</w:t>
      </w:r>
      <w:r>
        <w:rPr>
          <w:color w:val="auto"/>
          <w:spacing w:val="-12"/>
          <w:sz w:val="21"/>
        </w:rPr>
        <w:t xml:space="preserve">期限最后一天的截止时间为当天 </w:t>
      </w:r>
      <w:r>
        <w:rPr>
          <w:color w:val="auto"/>
          <w:sz w:val="21"/>
        </w:rPr>
        <w:t>24:00</w:t>
      </w:r>
      <w:r>
        <w:rPr>
          <w:color w:val="auto"/>
          <w:spacing w:val="-3"/>
          <w:sz w:val="21"/>
        </w:rPr>
        <w:t>。</w:t>
      </w:r>
      <w:r>
        <w:rPr>
          <w:color w:val="auto"/>
          <w:sz w:val="21"/>
        </w:rPr>
        <w:t xml:space="preserve"> </w:t>
      </w:r>
    </w:p>
    <w:p>
      <w:pPr>
        <w:pStyle w:val="44"/>
        <w:numPr>
          <w:ilvl w:val="3"/>
          <w:numId w:val="22"/>
        </w:numPr>
        <w:tabs>
          <w:tab w:val="left" w:pos="1427"/>
        </w:tabs>
        <w:spacing w:line="269" w:lineRule="exact"/>
        <w:ind w:left="1426" w:hanging="583"/>
        <w:rPr>
          <w:rFonts w:ascii="Times New Roman" w:eastAsia="Times New Roman"/>
          <w:color w:val="auto"/>
          <w:sz w:val="19"/>
        </w:rPr>
      </w:pPr>
      <w:r>
        <w:rPr>
          <w:color w:val="auto"/>
          <w:spacing w:val="-6"/>
          <w:sz w:val="21"/>
        </w:rPr>
        <w:t xml:space="preserve">竣工试验：是指在工程竣工验收前，根据第 </w:t>
      </w:r>
      <w:r>
        <w:rPr>
          <w:color w:val="auto"/>
          <w:sz w:val="21"/>
        </w:rPr>
        <w:t>18.1</w:t>
      </w:r>
      <w:r>
        <w:rPr>
          <w:color w:val="auto"/>
          <w:spacing w:val="-9"/>
          <w:sz w:val="21"/>
        </w:rPr>
        <w:t xml:space="preserve"> 款要求进行的试验。</w:t>
      </w:r>
      <w:r>
        <w:rPr>
          <w:color w:val="auto"/>
          <w:sz w:val="21"/>
        </w:rPr>
        <w:t xml:space="preserve"> </w:t>
      </w:r>
    </w:p>
    <w:p>
      <w:pPr>
        <w:spacing w:line="269" w:lineRule="exact"/>
        <w:rPr>
          <w:rFonts w:ascii="Times New Roman" w:eastAsia="Times New Roman"/>
          <w:color w:val="auto"/>
          <w:sz w:val="19"/>
        </w:rPr>
        <w:sectPr>
          <w:pgSz w:w="11910" w:h="16840"/>
          <w:pgMar w:top="1560" w:right="700" w:bottom="1180" w:left="920" w:header="0" w:footer="995" w:gutter="0"/>
          <w:cols w:space="720" w:num="1"/>
        </w:sectPr>
      </w:pPr>
    </w:p>
    <w:p>
      <w:pPr>
        <w:pStyle w:val="44"/>
        <w:numPr>
          <w:ilvl w:val="3"/>
          <w:numId w:val="22"/>
        </w:numPr>
        <w:tabs>
          <w:tab w:val="left" w:pos="1427"/>
        </w:tabs>
        <w:spacing w:before="65"/>
        <w:ind w:left="1426" w:hanging="583"/>
        <w:rPr>
          <w:rFonts w:ascii="Times New Roman" w:eastAsia="Times New Roman"/>
          <w:color w:val="auto"/>
          <w:sz w:val="19"/>
        </w:rPr>
      </w:pPr>
      <w:r>
        <w:rPr>
          <w:color w:val="auto"/>
          <w:spacing w:val="-3"/>
          <w:sz w:val="21"/>
        </w:rPr>
        <w:t>竣工验收：是指承包人完成了全部合同工作后，发包人按合同要求进行的验收。</w:t>
      </w:r>
      <w:r>
        <w:rPr>
          <w:color w:val="auto"/>
          <w:sz w:val="21"/>
        </w:rPr>
        <w:t xml:space="preserve"> </w:t>
      </w:r>
    </w:p>
    <w:p>
      <w:pPr>
        <w:pStyle w:val="8"/>
        <w:spacing w:before="7"/>
        <w:rPr>
          <w:color w:val="auto"/>
          <w:sz w:val="15"/>
        </w:rPr>
      </w:pPr>
    </w:p>
    <w:p>
      <w:pPr>
        <w:pStyle w:val="44"/>
        <w:numPr>
          <w:ilvl w:val="3"/>
          <w:numId w:val="22"/>
        </w:numPr>
        <w:tabs>
          <w:tab w:val="left" w:pos="1530"/>
        </w:tabs>
        <w:ind w:left="1529" w:hanging="686"/>
        <w:rPr>
          <w:rFonts w:ascii="Times New Roman" w:eastAsia="Times New Roman"/>
          <w:color w:val="auto"/>
          <w:sz w:val="19"/>
        </w:rPr>
      </w:pPr>
      <w:r>
        <w:rPr>
          <w:color w:val="auto"/>
          <w:spacing w:val="-6"/>
          <w:sz w:val="21"/>
        </w:rPr>
        <w:t xml:space="preserve">竣工后试验：是指在工程竣工验收后，根据第 </w:t>
      </w:r>
      <w:r>
        <w:rPr>
          <w:color w:val="auto"/>
          <w:sz w:val="21"/>
        </w:rPr>
        <w:t>18.9</w:t>
      </w:r>
      <w:r>
        <w:rPr>
          <w:color w:val="auto"/>
          <w:spacing w:val="-9"/>
          <w:sz w:val="21"/>
        </w:rPr>
        <w:t xml:space="preserve"> 款约定进行的试验。</w:t>
      </w:r>
      <w:r>
        <w:rPr>
          <w:color w:val="auto"/>
          <w:sz w:val="21"/>
        </w:rPr>
        <w:t xml:space="preserve"> </w:t>
      </w:r>
    </w:p>
    <w:p>
      <w:pPr>
        <w:pStyle w:val="44"/>
        <w:numPr>
          <w:ilvl w:val="3"/>
          <w:numId w:val="22"/>
        </w:numPr>
        <w:tabs>
          <w:tab w:val="left" w:pos="1627"/>
        </w:tabs>
        <w:spacing w:before="8" w:line="460" w:lineRule="atLeast"/>
        <w:ind w:left="212" w:right="427" w:firstLine="631"/>
        <w:rPr>
          <w:rFonts w:ascii="Times New Roman" w:eastAsia="Times New Roman"/>
          <w:color w:val="auto"/>
          <w:sz w:val="21"/>
        </w:rPr>
      </w:pPr>
      <w:r>
        <w:rPr>
          <w:color w:val="auto"/>
          <w:spacing w:val="-4"/>
          <w:sz w:val="21"/>
        </w:rPr>
        <w:t>国家验收：是指政府有关部门根据法律、规范、规程和政策要求，针对发包人全面组织实</w:t>
      </w:r>
      <w:r>
        <w:rPr>
          <w:color w:val="auto"/>
          <w:spacing w:val="-3"/>
          <w:sz w:val="21"/>
        </w:rPr>
        <w:t xml:space="preserve">施的整个工程正式交付投运前的验收。 </w:t>
      </w:r>
    </w:p>
    <w:p>
      <w:pPr>
        <w:pStyle w:val="44"/>
        <w:numPr>
          <w:ilvl w:val="2"/>
          <w:numId w:val="22"/>
        </w:numPr>
        <w:tabs>
          <w:tab w:val="left" w:pos="1152"/>
        </w:tabs>
        <w:spacing w:before="130"/>
        <w:ind w:hanging="526"/>
        <w:rPr>
          <w:color w:val="auto"/>
          <w:sz w:val="21"/>
        </w:rPr>
      </w:pPr>
      <w:r>
        <w:rPr>
          <w:color w:val="auto"/>
          <w:spacing w:val="-3"/>
          <w:sz w:val="21"/>
        </w:rPr>
        <w:t>合同价格和费用</w:t>
      </w:r>
    </w:p>
    <w:p>
      <w:pPr>
        <w:pStyle w:val="44"/>
        <w:numPr>
          <w:ilvl w:val="3"/>
          <w:numId w:val="22"/>
        </w:numPr>
        <w:tabs>
          <w:tab w:val="left" w:pos="1427"/>
        </w:tabs>
        <w:spacing w:before="120" w:line="417" w:lineRule="auto"/>
        <w:ind w:left="212" w:right="320" w:firstLine="631"/>
        <w:rPr>
          <w:rFonts w:ascii="Times New Roman" w:eastAsia="Times New Roman"/>
          <w:color w:val="auto"/>
          <w:sz w:val="19"/>
        </w:rPr>
      </w:pPr>
      <w:r>
        <w:rPr>
          <w:color w:val="auto"/>
          <w:spacing w:val="-15"/>
          <w:sz w:val="21"/>
        </w:rPr>
        <w:t>签约合同价：指中标通知书明确的并在签定合同时于合同协议书中写明的，包括了暂列金额、</w:t>
      </w:r>
      <w:r>
        <w:rPr>
          <w:color w:val="auto"/>
          <w:spacing w:val="-7"/>
          <w:sz w:val="21"/>
        </w:rPr>
        <w:t>暂估价的合同总金额。</w:t>
      </w:r>
      <w:r>
        <w:rPr>
          <w:color w:val="auto"/>
          <w:sz w:val="21"/>
        </w:rPr>
        <w:t xml:space="preserve"> </w:t>
      </w: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9"/>
          <w:sz w:val="21"/>
        </w:rPr>
        <w:t>合同价格：指承包人按合同约定完成了包括缺陷责任期内的全部承包工作后，发包人应付给</w:t>
      </w:r>
      <w:r>
        <w:rPr>
          <w:color w:val="auto"/>
          <w:spacing w:val="-5"/>
          <w:sz w:val="21"/>
        </w:rPr>
        <w:t xml:space="preserve">承包人的金额，包括在履行合同过程中按合同约定进行的变更和调整。 </w:t>
      </w:r>
    </w:p>
    <w:p>
      <w:pPr>
        <w:pStyle w:val="44"/>
        <w:numPr>
          <w:ilvl w:val="3"/>
          <w:numId w:val="22"/>
        </w:numPr>
        <w:tabs>
          <w:tab w:val="left" w:pos="1427"/>
        </w:tabs>
        <w:spacing w:line="417" w:lineRule="auto"/>
        <w:ind w:left="212" w:right="320" w:firstLine="631"/>
        <w:rPr>
          <w:rFonts w:ascii="Times New Roman" w:eastAsia="Times New Roman"/>
          <w:color w:val="auto"/>
          <w:sz w:val="19"/>
        </w:rPr>
      </w:pPr>
      <w:r>
        <w:rPr>
          <w:color w:val="auto"/>
          <w:spacing w:val="-14"/>
          <w:sz w:val="21"/>
        </w:rPr>
        <w:t xml:space="preserve">费用：指为履行合同所发生的或将要发生的所有合理开支，包括管理费和应分摊的其他费用， </w:t>
      </w:r>
      <w:r>
        <w:rPr>
          <w:color w:val="auto"/>
          <w:spacing w:val="-7"/>
          <w:sz w:val="21"/>
        </w:rPr>
        <w:t>但不包括利润。</w:t>
      </w:r>
      <w:r>
        <w:rPr>
          <w:color w:val="auto"/>
          <w:sz w:val="21"/>
        </w:rPr>
        <w:t xml:space="preserve"> </w:t>
      </w:r>
    </w:p>
    <w:p>
      <w:pPr>
        <w:pStyle w:val="44"/>
        <w:numPr>
          <w:ilvl w:val="3"/>
          <w:numId w:val="22"/>
        </w:numPr>
        <w:tabs>
          <w:tab w:val="left" w:pos="1427"/>
        </w:tabs>
        <w:spacing w:line="417" w:lineRule="auto"/>
        <w:ind w:left="212" w:right="426" w:firstLine="631"/>
        <w:rPr>
          <w:rFonts w:ascii="Times New Roman" w:eastAsia="Times New Roman"/>
          <w:color w:val="auto"/>
          <w:sz w:val="19"/>
        </w:rPr>
      </w:pPr>
      <w:r>
        <w:rPr>
          <w:color w:val="auto"/>
          <w:spacing w:val="-10"/>
          <w:sz w:val="21"/>
        </w:rPr>
        <w:t>暂列金额：指招标文件中给定的，用于在签订协议书时尚未确定或不可预见变更的设计、施</w:t>
      </w:r>
      <w:r>
        <w:rPr>
          <w:color w:val="auto"/>
          <w:spacing w:val="-5"/>
          <w:sz w:val="21"/>
        </w:rPr>
        <w:t xml:space="preserve">工及其所需材料、工程设备、服务等的金额，包括以计日工方式支付的金额。 </w:t>
      </w:r>
    </w:p>
    <w:p>
      <w:pPr>
        <w:pStyle w:val="44"/>
        <w:numPr>
          <w:ilvl w:val="3"/>
          <w:numId w:val="22"/>
        </w:numPr>
        <w:tabs>
          <w:tab w:val="left" w:pos="1427"/>
        </w:tabs>
        <w:spacing w:line="417" w:lineRule="auto"/>
        <w:ind w:left="212" w:right="352" w:firstLine="631"/>
        <w:rPr>
          <w:rFonts w:ascii="Times New Roman" w:eastAsia="Times New Roman"/>
          <w:color w:val="auto"/>
          <w:sz w:val="19"/>
        </w:rPr>
      </w:pPr>
      <w:r>
        <w:rPr>
          <w:color w:val="auto"/>
          <w:spacing w:val="-3"/>
          <w:sz w:val="21"/>
        </w:rPr>
        <w:t>暂估价：指招标文件中给定的，用于支付必然发生但暂时不能确定价格的专业服务、材料、设备专业工程的金额。</w:t>
      </w:r>
      <w:r>
        <w:rPr>
          <w:color w:val="auto"/>
          <w:sz w:val="21"/>
        </w:rPr>
        <w:t xml:space="preserve"> </w:t>
      </w:r>
    </w:p>
    <w:p>
      <w:pPr>
        <w:pStyle w:val="44"/>
        <w:numPr>
          <w:ilvl w:val="3"/>
          <w:numId w:val="22"/>
        </w:numPr>
        <w:tabs>
          <w:tab w:val="left" w:pos="1529"/>
        </w:tabs>
        <w:spacing w:line="269" w:lineRule="exact"/>
        <w:ind w:left="1528" w:hanging="685"/>
        <w:rPr>
          <w:rFonts w:ascii="Times New Roman" w:eastAsia="Times New Roman"/>
          <w:color w:val="auto"/>
          <w:sz w:val="21"/>
        </w:rPr>
      </w:pPr>
      <w:r>
        <w:rPr>
          <w:color w:val="auto"/>
          <w:spacing w:val="-3"/>
          <w:sz w:val="21"/>
        </w:rPr>
        <w:t>计日工：指对零星工作采取的一种计价方式，按合同中的计日工子目及其单价计价付款。</w:t>
      </w:r>
      <w:r>
        <w:rPr>
          <w:color w:val="auto"/>
          <w:sz w:val="21"/>
        </w:rPr>
        <w:t xml:space="preserve"> </w:t>
      </w:r>
    </w:p>
    <w:p>
      <w:pPr>
        <w:pStyle w:val="8"/>
        <w:spacing w:before="6"/>
        <w:rPr>
          <w:color w:val="auto"/>
          <w:sz w:val="15"/>
        </w:rPr>
      </w:pPr>
    </w:p>
    <w:p>
      <w:pPr>
        <w:pStyle w:val="44"/>
        <w:numPr>
          <w:ilvl w:val="3"/>
          <w:numId w:val="22"/>
        </w:numPr>
        <w:tabs>
          <w:tab w:val="left" w:pos="1427"/>
        </w:tabs>
        <w:ind w:left="1426" w:hanging="583"/>
        <w:rPr>
          <w:rFonts w:ascii="Times New Roman" w:eastAsia="Times New Roman"/>
          <w:color w:val="auto"/>
          <w:sz w:val="19"/>
        </w:rPr>
      </w:pPr>
      <w:r>
        <w:rPr>
          <w:color w:val="auto"/>
          <w:spacing w:val="-8"/>
          <w:sz w:val="21"/>
        </w:rPr>
        <w:t xml:space="preserve">质量保证金：指按第 </w:t>
      </w:r>
      <w:r>
        <w:rPr>
          <w:color w:val="auto"/>
          <w:sz w:val="21"/>
        </w:rPr>
        <w:t>17.4.1</w:t>
      </w:r>
      <w:r>
        <w:rPr>
          <w:color w:val="auto"/>
          <w:spacing w:val="-9"/>
          <w:sz w:val="21"/>
        </w:rPr>
        <w:t xml:space="preserve"> 项约定用于保证在缺陷责任期内履行缺陷修复义务的金额。</w:t>
      </w:r>
      <w:r>
        <w:rPr>
          <w:color w:val="auto"/>
          <w:sz w:val="21"/>
        </w:rPr>
        <w:t xml:space="preserve"> </w:t>
      </w:r>
    </w:p>
    <w:p>
      <w:pPr>
        <w:pStyle w:val="44"/>
        <w:numPr>
          <w:ilvl w:val="2"/>
          <w:numId w:val="22"/>
        </w:numPr>
        <w:tabs>
          <w:tab w:val="left" w:pos="1152"/>
        </w:tabs>
        <w:spacing w:before="122"/>
        <w:ind w:hanging="526"/>
        <w:rPr>
          <w:color w:val="auto"/>
          <w:sz w:val="21"/>
        </w:rPr>
      </w:pPr>
      <w:r>
        <w:rPr>
          <w:color w:val="auto"/>
          <w:sz w:val="21"/>
        </w:rPr>
        <w:t>其他</w:t>
      </w:r>
    </w:p>
    <w:p>
      <w:pPr>
        <w:pStyle w:val="44"/>
        <w:numPr>
          <w:ilvl w:val="3"/>
          <w:numId w:val="22"/>
        </w:numPr>
        <w:tabs>
          <w:tab w:val="left" w:pos="1529"/>
        </w:tabs>
        <w:spacing w:before="120" w:line="417" w:lineRule="auto"/>
        <w:ind w:left="212" w:right="428" w:firstLine="631"/>
        <w:rPr>
          <w:rFonts w:ascii="Times New Roman" w:eastAsia="Times New Roman"/>
          <w:color w:val="auto"/>
          <w:sz w:val="21"/>
        </w:rPr>
      </w:pPr>
      <w:r>
        <w:rPr>
          <w:color w:val="auto"/>
          <w:spacing w:val="-11"/>
          <w:sz w:val="21"/>
        </w:rPr>
        <w:t>书面形式：指合同文件、信函、电报、传真、数据电文、电子邮件、会议纪要等可以有形地</w:t>
      </w:r>
      <w:r>
        <w:rPr>
          <w:color w:val="auto"/>
          <w:spacing w:val="-6"/>
          <w:sz w:val="21"/>
        </w:rPr>
        <w:t>表现所载内容的形式。</w:t>
      </w:r>
    </w:p>
    <w:p>
      <w:pPr>
        <w:pStyle w:val="44"/>
        <w:numPr>
          <w:ilvl w:val="3"/>
          <w:numId w:val="22"/>
        </w:numPr>
        <w:tabs>
          <w:tab w:val="left" w:pos="1529"/>
        </w:tabs>
        <w:spacing w:line="269" w:lineRule="exact"/>
        <w:ind w:left="1528" w:hanging="685"/>
        <w:rPr>
          <w:rFonts w:ascii="Times New Roman" w:eastAsia="Times New Roman"/>
          <w:color w:val="auto"/>
          <w:sz w:val="21"/>
        </w:rPr>
      </w:pPr>
      <w:r>
        <w:rPr>
          <w:color w:val="auto"/>
          <w:spacing w:val="-9"/>
          <w:sz w:val="21"/>
        </w:rPr>
        <w:t>承包人文件：指由承包人根据合同应提交的所有图纸、手册、模型、计算书、软件和其他文</w:t>
      </w:r>
    </w:p>
    <w:p>
      <w:pPr>
        <w:pStyle w:val="8"/>
        <w:spacing w:before="7"/>
        <w:rPr>
          <w:color w:val="auto"/>
          <w:sz w:val="15"/>
        </w:rPr>
      </w:pPr>
    </w:p>
    <w:p>
      <w:pPr>
        <w:pStyle w:val="8"/>
        <w:ind w:left="212"/>
        <w:rPr>
          <w:color w:val="auto"/>
        </w:rPr>
      </w:pPr>
      <w:r>
        <w:rPr>
          <w:color w:val="auto"/>
        </w:rPr>
        <w:t>件。</w:t>
      </w:r>
    </w:p>
    <w:p>
      <w:pPr>
        <w:pStyle w:val="8"/>
        <w:spacing w:before="7"/>
        <w:rPr>
          <w:color w:val="auto"/>
          <w:sz w:val="15"/>
        </w:rPr>
      </w:pPr>
    </w:p>
    <w:p>
      <w:pPr>
        <w:pStyle w:val="44"/>
        <w:numPr>
          <w:ilvl w:val="3"/>
          <w:numId w:val="22"/>
        </w:numPr>
        <w:tabs>
          <w:tab w:val="left" w:pos="1529"/>
        </w:tabs>
        <w:ind w:left="1528" w:hanging="685"/>
        <w:rPr>
          <w:rFonts w:ascii="Times New Roman" w:eastAsia="Times New Roman"/>
          <w:color w:val="auto"/>
          <w:sz w:val="21"/>
        </w:rPr>
      </w:pPr>
      <w:r>
        <w:rPr>
          <w:color w:val="auto"/>
          <w:spacing w:val="-9"/>
          <w:sz w:val="21"/>
        </w:rPr>
        <w:t xml:space="preserve">变更是指根据第 </w:t>
      </w:r>
      <w:r>
        <w:rPr>
          <w:rFonts w:ascii="Times New Roman" w:eastAsia="Times New Roman"/>
          <w:color w:val="auto"/>
          <w:sz w:val="21"/>
        </w:rPr>
        <w:t>15</w:t>
      </w:r>
      <w:r>
        <w:rPr>
          <w:rFonts w:ascii="Times New Roman" w:eastAsia="Times New Roman"/>
          <w:color w:val="auto"/>
          <w:spacing w:val="1"/>
          <w:sz w:val="21"/>
        </w:rPr>
        <w:t xml:space="preserve"> </w:t>
      </w:r>
      <w:r>
        <w:rPr>
          <w:color w:val="auto"/>
          <w:spacing w:val="-3"/>
          <w:sz w:val="21"/>
        </w:rPr>
        <w:t>条的约定，经指示或批准对发包人要求或工程所做的改变。</w:t>
      </w:r>
      <w:r>
        <w:rPr>
          <w:color w:val="auto"/>
          <w:sz w:val="21"/>
        </w:rPr>
        <w:t xml:space="preserve"> </w:t>
      </w:r>
    </w:p>
    <w:p>
      <w:pPr>
        <w:pStyle w:val="44"/>
        <w:numPr>
          <w:ilvl w:val="1"/>
          <w:numId w:val="22"/>
        </w:numPr>
        <w:tabs>
          <w:tab w:val="left" w:pos="634"/>
        </w:tabs>
        <w:spacing w:before="178"/>
        <w:ind w:left="633" w:hanging="422"/>
        <w:rPr>
          <w:rFonts w:ascii="Times New Roman" w:eastAsia="Times New Roman"/>
          <w:b/>
          <w:color w:val="auto"/>
          <w:sz w:val="24"/>
        </w:rPr>
      </w:pPr>
      <w:bookmarkStart w:id="96" w:name="1.2_语言文字"/>
      <w:bookmarkEnd w:id="96"/>
      <w:r>
        <w:rPr>
          <w:b/>
          <w:color w:val="auto"/>
          <w:sz w:val="24"/>
        </w:rPr>
        <w:t>语言文字</w:t>
      </w:r>
    </w:p>
    <w:p>
      <w:pPr>
        <w:pStyle w:val="8"/>
        <w:spacing w:before="182"/>
        <w:ind w:left="633"/>
        <w:rPr>
          <w:color w:val="auto"/>
        </w:rPr>
      </w:pPr>
      <w:r>
        <w:rPr>
          <w:color w:val="auto"/>
        </w:rPr>
        <w:t xml:space="preserve">合同使用的语言文字为中文。专用术语使用外文的，应附有中文注释。 </w:t>
      </w:r>
    </w:p>
    <w:p>
      <w:pPr>
        <w:pStyle w:val="41"/>
        <w:numPr>
          <w:ilvl w:val="1"/>
          <w:numId w:val="22"/>
        </w:numPr>
        <w:tabs>
          <w:tab w:val="left" w:pos="634"/>
        </w:tabs>
        <w:spacing w:before="178"/>
        <w:ind w:left="633" w:hanging="422"/>
        <w:rPr>
          <w:rFonts w:ascii="Times New Roman" w:eastAsia="Times New Roman"/>
          <w:color w:val="auto"/>
        </w:rPr>
      </w:pPr>
      <w:bookmarkStart w:id="97" w:name="1.3_法律"/>
      <w:bookmarkEnd w:id="97"/>
      <w:r>
        <w:rPr>
          <w:color w:val="auto"/>
        </w:rPr>
        <w:t>法律</w:t>
      </w:r>
    </w:p>
    <w:p>
      <w:pPr>
        <w:pStyle w:val="8"/>
        <w:spacing w:before="181" w:line="417" w:lineRule="auto"/>
        <w:ind w:left="212" w:right="428" w:firstLine="420"/>
        <w:rPr>
          <w:color w:val="auto"/>
        </w:rPr>
      </w:pPr>
      <w:r>
        <w:rPr>
          <w:color w:val="auto"/>
          <w:spacing w:val="-6"/>
        </w:rPr>
        <w:t>适用于合同的法律包括中华人民共和国法律、行政法规、部门规章，以及工程所在地的地方法规、自</w:t>
      </w:r>
      <w:r>
        <w:rPr>
          <w:color w:val="auto"/>
          <w:spacing w:val="-4"/>
        </w:rPr>
        <w:t xml:space="preserve">治条例、单行条例和地方政府规章。 </w:t>
      </w:r>
    </w:p>
    <w:p>
      <w:pPr>
        <w:pStyle w:val="41"/>
        <w:numPr>
          <w:ilvl w:val="1"/>
          <w:numId w:val="22"/>
        </w:numPr>
        <w:tabs>
          <w:tab w:val="left" w:pos="634"/>
        </w:tabs>
        <w:spacing w:line="287" w:lineRule="exact"/>
        <w:ind w:left="633" w:hanging="422"/>
        <w:rPr>
          <w:rFonts w:ascii="Times New Roman" w:eastAsia="Times New Roman"/>
          <w:color w:val="auto"/>
        </w:rPr>
      </w:pPr>
      <w:bookmarkStart w:id="98" w:name="1.4_合同文件的优先顺序"/>
      <w:bookmarkEnd w:id="98"/>
      <w:r>
        <w:rPr>
          <w:color w:val="auto"/>
        </w:rPr>
        <w:t>合同文件的优先顺序</w:t>
      </w:r>
    </w:p>
    <w:p>
      <w:pPr>
        <w:pStyle w:val="8"/>
        <w:spacing w:before="181"/>
        <w:ind w:left="633"/>
        <w:rPr>
          <w:color w:val="auto"/>
        </w:rPr>
      </w:pPr>
      <w:r>
        <w:rPr>
          <w:color w:val="auto"/>
        </w:rPr>
        <w:t>组成合同的各项文件应互相解释，互为说明。除专用合同条款另有约定外，解释合同文件的优先顺序</w:t>
      </w:r>
    </w:p>
    <w:p>
      <w:pPr>
        <w:rPr>
          <w:color w:val="auto"/>
        </w:rPr>
        <w:sectPr>
          <w:pgSz w:w="11910" w:h="16840"/>
          <w:pgMar w:top="1540" w:right="700" w:bottom="1180" w:left="920" w:header="0" w:footer="995" w:gutter="0"/>
          <w:cols w:space="720" w:num="1"/>
        </w:sectPr>
      </w:pPr>
    </w:p>
    <w:p>
      <w:pPr>
        <w:pStyle w:val="8"/>
        <w:spacing w:before="45"/>
        <w:ind w:left="212"/>
        <w:rPr>
          <w:color w:val="auto"/>
        </w:rPr>
      </w:pPr>
      <w:r>
        <w:rPr>
          <w:color w:val="auto"/>
        </w:rPr>
        <w:t xml:space="preserve">如下： </w:t>
      </w:r>
    </w:p>
    <w:p>
      <w:pPr>
        <w:pStyle w:val="8"/>
        <w:spacing w:before="7"/>
        <w:rPr>
          <w:color w:val="auto"/>
          <w:sz w:val="15"/>
        </w:rPr>
      </w:pPr>
    </w:p>
    <w:p>
      <w:pPr>
        <w:pStyle w:val="44"/>
        <w:numPr>
          <w:ilvl w:val="0"/>
          <w:numId w:val="23"/>
        </w:numPr>
        <w:tabs>
          <w:tab w:val="left" w:pos="1163"/>
        </w:tabs>
        <w:ind w:hanging="530"/>
        <w:rPr>
          <w:color w:val="auto"/>
          <w:sz w:val="21"/>
        </w:rPr>
      </w:pPr>
      <w:r>
        <w:rPr>
          <w:color w:val="auto"/>
          <w:spacing w:val="-3"/>
          <w:sz w:val="21"/>
        </w:rPr>
        <w:t>合同协议书；</w:t>
      </w:r>
    </w:p>
    <w:p>
      <w:pPr>
        <w:pStyle w:val="8"/>
        <w:spacing w:before="7"/>
        <w:rPr>
          <w:color w:val="auto"/>
          <w:sz w:val="15"/>
        </w:rPr>
      </w:pPr>
    </w:p>
    <w:p>
      <w:pPr>
        <w:pStyle w:val="44"/>
        <w:numPr>
          <w:ilvl w:val="0"/>
          <w:numId w:val="23"/>
        </w:numPr>
        <w:tabs>
          <w:tab w:val="left" w:pos="1163"/>
        </w:tabs>
        <w:ind w:hanging="530"/>
        <w:rPr>
          <w:color w:val="auto"/>
          <w:sz w:val="21"/>
        </w:rPr>
      </w:pPr>
      <w:r>
        <w:rPr>
          <w:color w:val="auto"/>
          <w:spacing w:val="-3"/>
          <w:sz w:val="21"/>
        </w:rPr>
        <w:t>中标通知书；</w:t>
      </w:r>
    </w:p>
    <w:p>
      <w:pPr>
        <w:pStyle w:val="8"/>
        <w:spacing w:before="6"/>
        <w:rPr>
          <w:color w:val="auto"/>
          <w:sz w:val="15"/>
        </w:rPr>
      </w:pPr>
    </w:p>
    <w:p>
      <w:pPr>
        <w:pStyle w:val="44"/>
        <w:numPr>
          <w:ilvl w:val="0"/>
          <w:numId w:val="23"/>
        </w:numPr>
        <w:tabs>
          <w:tab w:val="left" w:pos="1163"/>
        </w:tabs>
        <w:spacing w:before="1"/>
        <w:ind w:hanging="530"/>
        <w:rPr>
          <w:color w:val="auto"/>
          <w:sz w:val="21"/>
        </w:rPr>
      </w:pPr>
      <w:r>
        <w:rPr>
          <w:color w:val="auto"/>
          <w:spacing w:val="-3"/>
          <w:sz w:val="21"/>
        </w:rPr>
        <w:t>投标函及投标函附录；</w:t>
      </w:r>
    </w:p>
    <w:p>
      <w:pPr>
        <w:pStyle w:val="8"/>
        <w:spacing w:before="6"/>
        <w:rPr>
          <w:color w:val="auto"/>
          <w:sz w:val="15"/>
        </w:rPr>
      </w:pPr>
    </w:p>
    <w:p>
      <w:pPr>
        <w:pStyle w:val="44"/>
        <w:numPr>
          <w:ilvl w:val="0"/>
          <w:numId w:val="23"/>
        </w:numPr>
        <w:tabs>
          <w:tab w:val="left" w:pos="1163"/>
        </w:tabs>
        <w:ind w:hanging="530"/>
        <w:rPr>
          <w:color w:val="auto"/>
          <w:sz w:val="21"/>
        </w:rPr>
      </w:pPr>
      <w:r>
        <w:rPr>
          <w:color w:val="auto"/>
          <w:spacing w:val="-3"/>
          <w:sz w:val="21"/>
        </w:rPr>
        <w:t>专用合同条款；</w:t>
      </w:r>
    </w:p>
    <w:p>
      <w:pPr>
        <w:pStyle w:val="8"/>
        <w:spacing w:before="7"/>
        <w:rPr>
          <w:color w:val="auto"/>
          <w:sz w:val="15"/>
        </w:rPr>
      </w:pPr>
    </w:p>
    <w:p>
      <w:pPr>
        <w:pStyle w:val="44"/>
        <w:numPr>
          <w:ilvl w:val="0"/>
          <w:numId w:val="23"/>
        </w:numPr>
        <w:tabs>
          <w:tab w:val="left" w:pos="1163"/>
        </w:tabs>
        <w:ind w:hanging="530"/>
        <w:rPr>
          <w:color w:val="auto"/>
          <w:sz w:val="21"/>
        </w:rPr>
      </w:pPr>
      <w:r>
        <w:rPr>
          <w:color w:val="auto"/>
          <w:spacing w:val="-3"/>
          <w:sz w:val="21"/>
        </w:rPr>
        <w:t>通用合同条款；</w:t>
      </w:r>
    </w:p>
    <w:p>
      <w:pPr>
        <w:pStyle w:val="8"/>
        <w:spacing w:before="7"/>
        <w:rPr>
          <w:color w:val="auto"/>
          <w:sz w:val="15"/>
        </w:rPr>
      </w:pPr>
    </w:p>
    <w:p>
      <w:pPr>
        <w:pStyle w:val="44"/>
        <w:numPr>
          <w:ilvl w:val="0"/>
          <w:numId w:val="23"/>
        </w:numPr>
        <w:tabs>
          <w:tab w:val="left" w:pos="1163"/>
        </w:tabs>
        <w:ind w:hanging="530"/>
        <w:rPr>
          <w:color w:val="auto"/>
          <w:sz w:val="21"/>
        </w:rPr>
      </w:pPr>
      <w:r>
        <w:rPr>
          <w:color w:val="auto"/>
          <w:spacing w:val="-3"/>
          <w:sz w:val="21"/>
        </w:rPr>
        <w:t>发包人要求；</w:t>
      </w:r>
    </w:p>
    <w:p>
      <w:pPr>
        <w:pStyle w:val="8"/>
        <w:spacing w:before="6"/>
        <w:rPr>
          <w:color w:val="auto"/>
          <w:sz w:val="15"/>
        </w:rPr>
      </w:pPr>
    </w:p>
    <w:p>
      <w:pPr>
        <w:pStyle w:val="44"/>
        <w:numPr>
          <w:ilvl w:val="0"/>
          <w:numId w:val="23"/>
        </w:numPr>
        <w:tabs>
          <w:tab w:val="left" w:pos="1163"/>
        </w:tabs>
        <w:spacing w:before="1"/>
        <w:ind w:hanging="530"/>
        <w:rPr>
          <w:color w:val="auto"/>
          <w:sz w:val="21"/>
        </w:rPr>
      </w:pPr>
      <w:r>
        <w:rPr>
          <w:color w:val="auto"/>
          <w:spacing w:val="-3"/>
          <w:sz w:val="21"/>
        </w:rPr>
        <w:t>承包人建议书；</w:t>
      </w:r>
    </w:p>
    <w:p>
      <w:pPr>
        <w:pStyle w:val="8"/>
        <w:spacing w:before="7"/>
        <w:rPr>
          <w:color w:val="auto"/>
          <w:sz w:val="15"/>
        </w:rPr>
      </w:pPr>
    </w:p>
    <w:p>
      <w:pPr>
        <w:pStyle w:val="44"/>
        <w:numPr>
          <w:ilvl w:val="0"/>
          <w:numId w:val="23"/>
        </w:numPr>
        <w:tabs>
          <w:tab w:val="left" w:pos="1163"/>
        </w:tabs>
        <w:ind w:hanging="530"/>
        <w:rPr>
          <w:color w:val="auto"/>
          <w:sz w:val="21"/>
        </w:rPr>
      </w:pPr>
      <w:r>
        <w:rPr>
          <w:color w:val="auto"/>
          <w:spacing w:val="-3"/>
          <w:sz w:val="21"/>
        </w:rPr>
        <w:t>价格清单；</w:t>
      </w:r>
    </w:p>
    <w:p>
      <w:pPr>
        <w:pStyle w:val="8"/>
        <w:spacing w:before="6"/>
        <w:rPr>
          <w:color w:val="auto"/>
          <w:sz w:val="15"/>
        </w:rPr>
      </w:pPr>
    </w:p>
    <w:p>
      <w:pPr>
        <w:pStyle w:val="44"/>
        <w:numPr>
          <w:ilvl w:val="0"/>
          <w:numId w:val="23"/>
        </w:numPr>
        <w:tabs>
          <w:tab w:val="left" w:pos="1163"/>
        </w:tabs>
        <w:spacing w:before="1"/>
        <w:ind w:hanging="530"/>
        <w:rPr>
          <w:color w:val="auto"/>
          <w:sz w:val="21"/>
        </w:rPr>
      </w:pPr>
      <w:r>
        <w:rPr>
          <w:color w:val="auto"/>
          <w:spacing w:val="-3"/>
          <w:sz w:val="21"/>
        </w:rPr>
        <w:t>其他合同文件。</w:t>
      </w:r>
      <w:r>
        <w:rPr>
          <w:color w:val="auto"/>
          <w:sz w:val="21"/>
        </w:rPr>
        <w:t xml:space="preserve"> </w:t>
      </w:r>
    </w:p>
    <w:p>
      <w:pPr>
        <w:pStyle w:val="41"/>
        <w:numPr>
          <w:ilvl w:val="1"/>
          <w:numId w:val="22"/>
        </w:numPr>
        <w:tabs>
          <w:tab w:val="left" w:pos="634"/>
        </w:tabs>
        <w:spacing w:before="178"/>
        <w:ind w:left="633" w:hanging="422"/>
        <w:rPr>
          <w:rFonts w:ascii="Times New Roman" w:eastAsia="Times New Roman"/>
          <w:color w:val="auto"/>
        </w:rPr>
      </w:pPr>
      <w:bookmarkStart w:id="99" w:name="1.5_合同协议书"/>
      <w:bookmarkEnd w:id="99"/>
      <w:r>
        <w:rPr>
          <w:color w:val="auto"/>
        </w:rPr>
        <w:t>合同协议书</w:t>
      </w:r>
    </w:p>
    <w:p>
      <w:pPr>
        <w:pStyle w:val="8"/>
        <w:spacing w:before="181" w:line="417" w:lineRule="auto"/>
        <w:ind w:left="212" w:right="426" w:firstLine="420"/>
        <w:rPr>
          <w:color w:val="auto"/>
        </w:rPr>
      </w:pPr>
      <w:r>
        <w:rPr>
          <w:color w:val="auto"/>
          <w:spacing w:val="-5"/>
        </w:rPr>
        <w:t>承包人按中标通知书规定的时间与发包人签订合同协议书。除法律另有规定或合同另有约定外，发包</w:t>
      </w:r>
      <w:r>
        <w:rPr>
          <w:color w:val="auto"/>
          <w:spacing w:val="-4"/>
        </w:rPr>
        <w:t xml:space="preserve">人和承包人的法定代表人或其委托代理人在合同协议书上签字并盖单位章后，合同生效。 </w:t>
      </w:r>
    </w:p>
    <w:p>
      <w:pPr>
        <w:pStyle w:val="41"/>
        <w:numPr>
          <w:ilvl w:val="1"/>
          <w:numId w:val="22"/>
        </w:numPr>
        <w:tabs>
          <w:tab w:val="left" w:pos="634"/>
        </w:tabs>
        <w:spacing w:line="287" w:lineRule="exact"/>
        <w:ind w:left="633" w:hanging="422"/>
        <w:rPr>
          <w:rFonts w:ascii="Times New Roman" w:eastAsia="Times New Roman"/>
          <w:color w:val="auto"/>
        </w:rPr>
      </w:pPr>
      <w:r>
        <w:rPr>
          <w:color w:val="auto"/>
        </w:rPr>
        <w:t>文件的提供和照管</w:t>
      </w:r>
    </w:p>
    <w:p>
      <w:pPr>
        <w:pStyle w:val="8"/>
        <w:spacing w:before="181"/>
        <w:ind w:left="212"/>
        <w:jc w:val="both"/>
        <w:rPr>
          <w:color w:val="auto"/>
        </w:rPr>
      </w:pPr>
      <w:r>
        <w:rPr>
          <w:color w:val="auto"/>
        </w:rPr>
        <w:t xml:space="preserve">    </w:t>
      </w:r>
      <w:r>
        <w:rPr>
          <w:rFonts w:ascii="Times New Roman" w:eastAsia="Times New Roman"/>
          <w:color w:val="auto"/>
        </w:rPr>
        <w:t xml:space="preserve">1.6.1 </w:t>
      </w:r>
      <w:r>
        <w:rPr>
          <w:color w:val="auto"/>
          <w:spacing w:val="-3"/>
        </w:rPr>
        <w:t xml:space="preserve">承包人文件的提供 </w:t>
      </w:r>
    </w:p>
    <w:p>
      <w:pPr>
        <w:pStyle w:val="8"/>
        <w:spacing w:before="7"/>
        <w:rPr>
          <w:color w:val="auto"/>
          <w:sz w:val="15"/>
        </w:rPr>
      </w:pPr>
    </w:p>
    <w:p>
      <w:pPr>
        <w:pStyle w:val="8"/>
        <w:spacing w:line="417" w:lineRule="auto"/>
        <w:ind w:left="212" w:right="426" w:firstLine="420"/>
        <w:jc w:val="both"/>
        <w:rPr>
          <w:color w:val="auto"/>
        </w:rPr>
      </w:pPr>
      <w:r>
        <w:rPr>
          <w:color w:val="auto"/>
        </w:rPr>
        <w:t>除专用合同条款另有约定外，承包人应在合理的期限内按照合同约定的数量向监理人提供承包人文</w:t>
      </w:r>
      <w:r>
        <w:rPr>
          <w:color w:val="auto"/>
          <w:spacing w:val="-6"/>
        </w:rPr>
        <w:t>件。合同约定承包人文件应批准的，监理人应当在合同约定的期限内批复。承包人的设计文件的提供和审</w:t>
      </w:r>
      <w:r>
        <w:rPr>
          <w:color w:val="auto"/>
          <w:spacing w:val="-16"/>
        </w:rPr>
        <w:t xml:space="preserve">查按第 </w:t>
      </w:r>
      <w:r>
        <w:rPr>
          <w:rFonts w:ascii="Times New Roman" w:eastAsia="Times New Roman"/>
          <w:color w:val="auto"/>
        </w:rPr>
        <w:t xml:space="preserve">5.3 </w:t>
      </w:r>
      <w:r>
        <w:rPr>
          <w:color w:val="auto"/>
          <w:spacing w:val="-15"/>
        </w:rPr>
        <w:t xml:space="preserve">款和第 </w:t>
      </w:r>
      <w:r>
        <w:rPr>
          <w:rFonts w:ascii="Times New Roman" w:eastAsia="Times New Roman"/>
          <w:color w:val="auto"/>
        </w:rPr>
        <w:t xml:space="preserve">5.5 </w:t>
      </w:r>
      <w:r>
        <w:rPr>
          <w:color w:val="auto"/>
          <w:spacing w:val="-3"/>
        </w:rPr>
        <w:t>款的约定执行。</w:t>
      </w:r>
      <w:r>
        <w:rPr>
          <w:color w:val="auto"/>
        </w:rPr>
        <w:t xml:space="preserve"> </w:t>
      </w:r>
    </w:p>
    <w:p>
      <w:pPr>
        <w:pStyle w:val="44"/>
        <w:numPr>
          <w:ilvl w:val="2"/>
          <w:numId w:val="24"/>
        </w:numPr>
        <w:tabs>
          <w:tab w:val="left" w:pos="1159"/>
        </w:tabs>
        <w:jc w:val="both"/>
        <w:rPr>
          <w:color w:val="auto"/>
          <w:sz w:val="21"/>
        </w:rPr>
      </w:pPr>
      <w:r>
        <w:rPr>
          <w:color w:val="auto"/>
          <w:spacing w:val="-3"/>
          <w:sz w:val="21"/>
        </w:rPr>
        <w:t>发包人提供的文件</w:t>
      </w:r>
      <w:r>
        <w:rPr>
          <w:color w:val="auto"/>
          <w:sz w:val="21"/>
        </w:rPr>
        <w:t xml:space="preserve"> </w:t>
      </w:r>
    </w:p>
    <w:p>
      <w:pPr>
        <w:pStyle w:val="8"/>
        <w:spacing w:before="6"/>
        <w:rPr>
          <w:color w:val="auto"/>
          <w:sz w:val="15"/>
        </w:rPr>
      </w:pPr>
    </w:p>
    <w:p>
      <w:pPr>
        <w:pStyle w:val="8"/>
        <w:spacing w:line="417" w:lineRule="auto"/>
        <w:ind w:left="212" w:right="428" w:firstLine="420"/>
        <w:jc w:val="both"/>
        <w:rPr>
          <w:color w:val="auto"/>
        </w:rPr>
      </w:pPr>
      <w:r>
        <w:rPr>
          <w:color w:val="auto"/>
          <w:spacing w:val="-7"/>
        </w:rPr>
        <w:t>按专用合同条款约定由发包人提供的文件，包括前期工作相关文件、环境保护、气象水文、地质条件</w:t>
      </w:r>
      <w:r>
        <w:rPr>
          <w:color w:val="auto"/>
          <w:spacing w:val="-10"/>
        </w:rPr>
        <w:t xml:space="preserve">等，发包人应按约定的数量和期限交给承包人。由于发包人未按时提供文件造成工期延误的，按第 </w:t>
      </w:r>
      <w:r>
        <w:rPr>
          <w:rFonts w:ascii="Times New Roman" w:eastAsia="Times New Roman"/>
          <w:color w:val="auto"/>
          <w:spacing w:val="-3"/>
        </w:rPr>
        <w:t xml:space="preserve">11.3 </w:t>
      </w:r>
      <w:r>
        <w:rPr>
          <w:color w:val="auto"/>
        </w:rPr>
        <w:t>款</w:t>
      </w:r>
      <w:r>
        <w:rPr>
          <w:color w:val="auto"/>
          <w:spacing w:val="-2"/>
        </w:rPr>
        <w:t>约定执行。</w:t>
      </w:r>
      <w:r>
        <w:rPr>
          <w:color w:val="auto"/>
        </w:rPr>
        <w:t xml:space="preserve"> </w:t>
      </w:r>
    </w:p>
    <w:p>
      <w:pPr>
        <w:pStyle w:val="44"/>
        <w:numPr>
          <w:ilvl w:val="2"/>
          <w:numId w:val="24"/>
        </w:numPr>
        <w:tabs>
          <w:tab w:val="left" w:pos="1159"/>
        </w:tabs>
        <w:spacing w:line="269" w:lineRule="exact"/>
        <w:jc w:val="both"/>
        <w:rPr>
          <w:color w:val="auto"/>
          <w:sz w:val="21"/>
        </w:rPr>
      </w:pPr>
      <w:r>
        <w:rPr>
          <w:color w:val="auto"/>
          <w:spacing w:val="-3"/>
          <w:sz w:val="21"/>
        </w:rPr>
        <w:t>文件错误的通知</w:t>
      </w:r>
      <w:r>
        <w:rPr>
          <w:color w:val="auto"/>
          <w:sz w:val="21"/>
        </w:rPr>
        <w:t xml:space="preserve"> </w:t>
      </w:r>
    </w:p>
    <w:p>
      <w:pPr>
        <w:pStyle w:val="8"/>
        <w:spacing w:before="8"/>
        <w:rPr>
          <w:color w:val="auto"/>
          <w:sz w:val="15"/>
        </w:rPr>
      </w:pPr>
    </w:p>
    <w:p>
      <w:pPr>
        <w:pStyle w:val="8"/>
        <w:ind w:left="633"/>
        <w:rPr>
          <w:color w:val="auto"/>
        </w:rPr>
      </w:pPr>
      <w:r>
        <w:rPr>
          <w:color w:val="auto"/>
        </w:rPr>
        <w:t xml:space="preserve">任何一方发现了文件中存在的明显错误或疏忽，应及时通知另一方。 </w:t>
      </w:r>
    </w:p>
    <w:p>
      <w:pPr>
        <w:pStyle w:val="8"/>
        <w:spacing w:before="6"/>
        <w:rPr>
          <w:color w:val="auto"/>
          <w:sz w:val="15"/>
        </w:rPr>
      </w:pPr>
    </w:p>
    <w:p>
      <w:pPr>
        <w:pStyle w:val="44"/>
        <w:numPr>
          <w:ilvl w:val="2"/>
          <w:numId w:val="24"/>
        </w:numPr>
        <w:tabs>
          <w:tab w:val="left" w:pos="1159"/>
        </w:tabs>
        <w:rPr>
          <w:color w:val="auto"/>
          <w:sz w:val="21"/>
        </w:rPr>
      </w:pPr>
      <w:r>
        <w:rPr>
          <w:color w:val="auto"/>
          <w:spacing w:val="-3"/>
          <w:sz w:val="21"/>
        </w:rPr>
        <w:t>文件的照管</w:t>
      </w:r>
      <w:r>
        <w:rPr>
          <w:color w:val="auto"/>
          <w:sz w:val="21"/>
        </w:rPr>
        <w:t xml:space="preserve"> </w:t>
      </w:r>
    </w:p>
    <w:p>
      <w:pPr>
        <w:pStyle w:val="8"/>
        <w:spacing w:before="7"/>
        <w:rPr>
          <w:color w:val="auto"/>
          <w:sz w:val="15"/>
        </w:rPr>
      </w:pPr>
    </w:p>
    <w:p>
      <w:pPr>
        <w:pStyle w:val="8"/>
        <w:spacing w:line="417" w:lineRule="auto"/>
        <w:ind w:left="212" w:right="426" w:firstLine="420"/>
        <w:rPr>
          <w:color w:val="auto"/>
        </w:rPr>
      </w:pPr>
      <w:r>
        <w:rPr>
          <w:color w:val="auto"/>
          <w:spacing w:val="-6"/>
        </w:rPr>
        <w:t>承包人应在现场保留一份合同、发包人要求中列出的所有文件、承包人文件、变更以及其它根据合同</w:t>
      </w:r>
      <w:r>
        <w:rPr>
          <w:color w:val="auto"/>
          <w:spacing w:val="-4"/>
        </w:rPr>
        <w:t>收发的往来信函。发包人有权在任何合理的时间查阅和使用上述所有文件。</w:t>
      </w:r>
    </w:p>
    <w:p>
      <w:pPr>
        <w:pStyle w:val="41"/>
        <w:numPr>
          <w:ilvl w:val="1"/>
          <w:numId w:val="22"/>
        </w:numPr>
        <w:tabs>
          <w:tab w:val="left" w:pos="634"/>
        </w:tabs>
        <w:spacing w:line="287" w:lineRule="exact"/>
        <w:ind w:left="633" w:hanging="422"/>
        <w:rPr>
          <w:rFonts w:ascii="Times New Roman" w:eastAsia="Times New Roman"/>
          <w:color w:val="auto"/>
        </w:rPr>
      </w:pPr>
      <w:r>
        <w:rPr>
          <w:color w:val="auto"/>
        </w:rPr>
        <w:t>联络</w:t>
      </w:r>
    </w:p>
    <w:p>
      <w:pPr>
        <w:pStyle w:val="44"/>
        <w:numPr>
          <w:ilvl w:val="2"/>
          <w:numId w:val="22"/>
        </w:numPr>
        <w:tabs>
          <w:tab w:val="left" w:pos="1057"/>
        </w:tabs>
        <w:spacing w:before="181"/>
        <w:ind w:left="1056" w:hanging="424"/>
        <w:rPr>
          <w:color w:val="auto"/>
          <w:sz w:val="21"/>
        </w:rPr>
      </w:pPr>
      <w:r>
        <w:rPr>
          <w:color w:val="auto"/>
          <w:sz w:val="21"/>
        </w:rPr>
        <w:t>与合同有关的通知、批准、证明、证书、指示、要求、请求、同意、意见、确定和决定等，均</w:t>
      </w:r>
    </w:p>
    <w:p>
      <w:pPr>
        <w:rPr>
          <w:color w:val="auto"/>
          <w:sz w:val="21"/>
        </w:rPr>
        <w:sectPr>
          <w:footerReference r:id="rId26" w:type="default"/>
          <w:pgSz w:w="11910" w:h="16840"/>
          <w:pgMar w:top="1560" w:right="700" w:bottom="1180" w:left="920" w:header="0" w:footer="995" w:gutter="0"/>
          <w:cols w:space="720" w:num="1"/>
        </w:sectPr>
      </w:pPr>
    </w:p>
    <w:p>
      <w:pPr>
        <w:pStyle w:val="8"/>
        <w:spacing w:before="45"/>
        <w:ind w:left="212"/>
        <w:rPr>
          <w:color w:val="auto"/>
        </w:rPr>
      </w:pPr>
      <w:r>
        <w:rPr>
          <w:color w:val="auto"/>
        </w:rPr>
        <w:t xml:space="preserve">应采用书面形式。 </w:t>
      </w:r>
    </w:p>
    <w:p>
      <w:pPr>
        <w:pStyle w:val="8"/>
        <w:spacing w:before="7"/>
        <w:rPr>
          <w:color w:val="auto"/>
          <w:sz w:val="15"/>
        </w:rPr>
      </w:pPr>
    </w:p>
    <w:p>
      <w:pPr>
        <w:pStyle w:val="44"/>
        <w:numPr>
          <w:ilvl w:val="2"/>
          <w:numId w:val="22"/>
        </w:numPr>
        <w:tabs>
          <w:tab w:val="left" w:pos="1057"/>
        </w:tabs>
        <w:spacing w:line="417" w:lineRule="auto"/>
        <w:ind w:left="212" w:right="428" w:firstLine="420"/>
        <w:rPr>
          <w:color w:val="auto"/>
          <w:sz w:val="21"/>
        </w:rPr>
      </w:pPr>
      <w:r>
        <w:rPr>
          <w:color w:val="auto"/>
          <w:spacing w:val="-23"/>
          <w:sz w:val="21"/>
        </w:rPr>
        <w:t xml:space="preserve">第 </w:t>
      </w:r>
      <w:r>
        <w:rPr>
          <w:rFonts w:ascii="Times New Roman" w:eastAsia="Times New Roman"/>
          <w:color w:val="auto"/>
          <w:sz w:val="21"/>
        </w:rPr>
        <w:t>1.7.1</w:t>
      </w:r>
      <w:r>
        <w:rPr>
          <w:rFonts w:ascii="Times New Roman" w:eastAsia="Times New Roman"/>
          <w:color w:val="auto"/>
          <w:spacing w:val="15"/>
          <w:sz w:val="21"/>
        </w:rPr>
        <w:t xml:space="preserve"> </w:t>
      </w:r>
      <w:r>
        <w:rPr>
          <w:color w:val="auto"/>
          <w:spacing w:val="-10"/>
          <w:sz w:val="21"/>
        </w:rPr>
        <w:t>项中的通知、批准、证明、证书、指示、要求、请求、同意、意见、确定和决定等来往</w:t>
      </w:r>
      <w:r>
        <w:rPr>
          <w:color w:val="auto"/>
          <w:spacing w:val="-5"/>
          <w:sz w:val="21"/>
        </w:rPr>
        <w:t xml:space="preserve">函件，均应在合同约定的期限内送达指定的地点和指定的接收人，并办理签收手续。 </w:t>
      </w:r>
    </w:p>
    <w:p>
      <w:pPr>
        <w:pStyle w:val="41"/>
        <w:numPr>
          <w:ilvl w:val="1"/>
          <w:numId w:val="22"/>
        </w:numPr>
        <w:tabs>
          <w:tab w:val="left" w:pos="634"/>
        </w:tabs>
        <w:spacing w:line="287" w:lineRule="exact"/>
        <w:ind w:left="633" w:hanging="422"/>
        <w:rPr>
          <w:rFonts w:ascii="Times New Roman" w:eastAsia="Times New Roman"/>
          <w:color w:val="auto"/>
        </w:rPr>
      </w:pPr>
      <w:bookmarkStart w:id="100" w:name="1.8_转让"/>
      <w:bookmarkEnd w:id="100"/>
      <w:r>
        <w:rPr>
          <w:color w:val="auto"/>
        </w:rPr>
        <w:t>转让</w:t>
      </w:r>
    </w:p>
    <w:p>
      <w:pPr>
        <w:pStyle w:val="8"/>
        <w:spacing w:before="181" w:line="417" w:lineRule="auto"/>
        <w:ind w:left="212" w:right="426" w:firstLine="420"/>
        <w:jc w:val="both"/>
        <w:rPr>
          <w:color w:val="auto"/>
        </w:rPr>
      </w:pPr>
      <w:r>
        <w:rPr>
          <w:color w:val="auto"/>
          <w:spacing w:val="-6"/>
        </w:rPr>
        <w:t>除合同另有约定外，未经承包人同意，发包人不得将合同权利全部或部分转让给第三人，也不得全部或部分转让合同义务。承包人不得将合同权利和义务全部转让给第三人，也不得将合同的义务全部或部分</w:t>
      </w:r>
      <w:r>
        <w:rPr>
          <w:color w:val="auto"/>
          <w:spacing w:val="-4"/>
        </w:rPr>
        <w:t xml:space="preserve">转让给第三人，法律另有规定的除外。 </w:t>
      </w:r>
    </w:p>
    <w:p>
      <w:pPr>
        <w:pStyle w:val="41"/>
        <w:numPr>
          <w:ilvl w:val="1"/>
          <w:numId w:val="22"/>
        </w:numPr>
        <w:tabs>
          <w:tab w:val="left" w:pos="634"/>
        </w:tabs>
        <w:spacing w:line="287" w:lineRule="exact"/>
        <w:ind w:left="633" w:hanging="422"/>
        <w:rPr>
          <w:rFonts w:ascii="Times New Roman" w:eastAsia="Times New Roman"/>
          <w:color w:val="auto"/>
        </w:rPr>
      </w:pPr>
      <w:bookmarkStart w:id="101" w:name="1.9_严禁贿赂"/>
      <w:bookmarkEnd w:id="101"/>
      <w:r>
        <w:rPr>
          <w:color w:val="auto"/>
        </w:rPr>
        <w:t>严禁贿赂</w:t>
      </w:r>
    </w:p>
    <w:p>
      <w:pPr>
        <w:pStyle w:val="8"/>
        <w:spacing w:before="181" w:line="417" w:lineRule="auto"/>
        <w:ind w:left="212" w:right="426" w:firstLine="420"/>
        <w:rPr>
          <w:color w:val="auto"/>
        </w:rPr>
      </w:pPr>
      <w:r>
        <w:rPr>
          <w:color w:val="auto"/>
          <w:spacing w:val="-5"/>
        </w:rPr>
        <w:t>合同双方当事人不得以贿赂或变相贿赂的方式，谋取不当利益或损害对方权益。因贿赂造成对方损失</w:t>
      </w:r>
      <w:r>
        <w:rPr>
          <w:color w:val="auto"/>
          <w:spacing w:val="-4"/>
        </w:rPr>
        <w:t>的，行为人应赔偿损失，并承担相应的法律责任。</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02" w:name="1.10_化石、文物"/>
      <w:bookmarkEnd w:id="102"/>
      <w:r>
        <w:rPr>
          <w:color w:val="auto"/>
        </w:rPr>
        <w:t>化石、文物</w:t>
      </w:r>
    </w:p>
    <w:p>
      <w:pPr>
        <w:pStyle w:val="44"/>
        <w:numPr>
          <w:ilvl w:val="2"/>
          <w:numId w:val="22"/>
        </w:numPr>
        <w:tabs>
          <w:tab w:val="left" w:pos="1265"/>
        </w:tabs>
        <w:spacing w:before="181" w:line="417" w:lineRule="auto"/>
        <w:ind w:left="212" w:right="426" w:firstLine="420"/>
        <w:jc w:val="both"/>
        <w:rPr>
          <w:color w:val="auto"/>
          <w:sz w:val="21"/>
        </w:rPr>
      </w:pPr>
      <w:r>
        <w:rPr>
          <w:color w:val="auto"/>
          <w:spacing w:val="-6"/>
          <w:sz w:val="21"/>
        </w:rPr>
        <w:t>在施工场地发掘的所有文物、古迹以及具有地质研究或考古价值的其他遗迹、化石、钱币或物</w:t>
      </w:r>
      <w:r>
        <w:rPr>
          <w:color w:val="auto"/>
          <w:spacing w:val="-7"/>
          <w:sz w:val="21"/>
        </w:rPr>
        <w:t>品属于国家所有。一旦发现上述文物，承包人应采取有效合理的保护措施，防止任何人员移动或损坏上述</w:t>
      </w:r>
      <w:r>
        <w:rPr>
          <w:color w:val="auto"/>
          <w:spacing w:val="-6"/>
          <w:sz w:val="21"/>
        </w:rPr>
        <w:t>物品，并立即报告当地文物行政部门，同时通知监理人和发包人。发包人、监理人和承包人应按文物行政</w:t>
      </w:r>
      <w:r>
        <w:rPr>
          <w:color w:val="auto"/>
          <w:spacing w:val="-4"/>
          <w:sz w:val="21"/>
        </w:rPr>
        <w:t>部门要求采取妥善保护措施，由此导致费用增加和</w:t>
      </w:r>
      <w:r>
        <w:rPr>
          <w:color w:val="auto"/>
          <w:sz w:val="21"/>
        </w:rPr>
        <w:t>（或</w:t>
      </w:r>
      <w:r>
        <w:rPr>
          <w:color w:val="auto"/>
          <w:spacing w:val="-3"/>
          <w:sz w:val="21"/>
        </w:rPr>
        <w:t>）工期延误由发包人承担。</w:t>
      </w:r>
      <w:r>
        <w:rPr>
          <w:color w:val="auto"/>
          <w:sz w:val="21"/>
        </w:rPr>
        <w:t xml:space="preserve"> </w:t>
      </w:r>
    </w:p>
    <w:p>
      <w:pPr>
        <w:pStyle w:val="44"/>
        <w:numPr>
          <w:ilvl w:val="2"/>
          <w:numId w:val="22"/>
        </w:numPr>
        <w:tabs>
          <w:tab w:val="left" w:pos="1265"/>
        </w:tabs>
        <w:spacing w:line="417" w:lineRule="auto"/>
        <w:ind w:left="212" w:right="426" w:firstLine="420"/>
        <w:jc w:val="both"/>
        <w:rPr>
          <w:color w:val="auto"/>
          <w:sz w:val="21"/>
        </w:rPr>
      </w:pPr>
      <w:r>
        <w:rPr>
          <w:color w:val="auto"/>
          <w:spacing w:val="-6"/>
          <w:sz w:val="21"/>
        </w:rPr>
        <w:t>承包人发现文物后不及时报告或隐瞒不报，致使文物丢失或损坏的，应赔偿损失，并承担相应</w:t>
      </w:r>
      <w:r>
        <w:rPr>
          <w:color w:val="auto"/>
          <w:spacing w:val="-4"/>
          <w:sz w:val="21"/>
        </w:rPr>
        <w:t>的法律责任。</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03" w:name="1.11_知识产权"/>
      <w:bookmarkEnd w:id="103"/>
      <w:r>
        <w:rPr>
          <w:color w:val="auto"/>
        </w:rPr>
        <w:t>知识产权</w:t>
      </w:r>
    </w:p>
    <w:p>
      <w:pPr>
        <w:pStyle w:val="44"/>
        <w:numPr>
          <w:ilvl w:val="2"/>
          <w:numId w:val="22"/>
        </w:numPr>
        <w:tabs>
          <w:tab w:val="left" w:pos="1243"/>
        </w:tabs>
        <w:spacing w:before="181" w:line="417" w:lineRule="auto"/>
        <w:ind w:left="212" w:right="426" w:firstLine="420"/>
        <w:rPr>
          <w:color w:val="auto"/>
          <w:sz w:val="21"/>
        </w:rPr>
      </w:pPr>
      <w:r>
        <w:rPr>
          <w:color w:val="auto"/>
          <w:spacing w:val="-3"/>
          <w:sz w:val="21"/>
        </w:rPr>
        <w:t xml:space="preserve">除专用合同条款另有约定外，承包人完成的设计工作成果和建造完成的建筑物，除署名权以外的著作权以及建筑物形象使用收益等其他知识产权均归发包人享有。 </w:t>
      </w:r>
    </w:p>
    <w:p>
      <w:pPr>
        <w:pStyle w:val="44"/>
        <w:numPr>
          <w:ilvl w:val="2"/>
          <w:numId w:val="22"/>
        </w:numPr>
        <w:tabs>
          <w:tab w:val="left" w:pos="1258"/>
        </w:tabs>
        <w:spacing w:line="417" w:lineRule="auto"/>
        <w:ind w:left="212" w:right="428" w:firstLine="420"/>
        <w:rPr>
          <w:color w:val="auto"/>
          <w:sz w:val="21"/>
        </w:rPr>
      </w:pPr>
      <w:r>
        <w:rPr>
          <w:color w:val="auto"/>
          <w:spacing w:val="-3"/>
          <w:sz w:val="21"/>
        </w:rPr>
        <w:t xml:space="preserve">承包人在进行设计，以及使用任何材料、承包人设备、工程设备或采用施工工艺时，因侵犯专利权或其他知识产权所引起的责任，由承包人承担。 </w:t>
      </w:r>
    </w:p>
    <w:p>
      <w:pPr>
        <w:pStyle w:val="44"/>
        <w:numPr>
          <w:ilvl w:val="2"/>
          <w:numId w:val="22"/>
        </w:numPr>
        <w:tabs>
          <w:tab w:val="left" w:pos="1258"/>
        </w:tabs>
        <w:spacing w:line="269" w:lineRule="exact"/>
        <w:ind w:left="1257" w:hanging="625"/>
        <w:rPr>
          <w:color w:val="auto"/>
          <w:sz w:val="21"/>
        </w:rPr>
      </w:pPr>
      <w:r>
        <w:rPr>
          <w:color w:val="auto"/>
          <w:spacing w:val="-3"/>
          <w:sz w:val="21"/>
        </w:rPr>
        <w:t>承包人在投标文件中采用专利技术的，专利技术的使用费包含在投标报价内。</w:t>
      </w:r>
    </w:p>
    <w:p>
      <w:pPr>
        <w:pStyle w:val="41"/>
        <w:numPr>
          <w:ilvl w:val="1"/>
          <w:numId w:val="22"/>
        </w:numPr>
        <w:tabs>
          <w:tab w:val="left" w:pos="754"/>
        </w:tabs>
        <w:spacing w:before="178"/>
        <w:ind w:hanging="542"/>
        <w:rPr>
          <w:rFonts w:ascii="Times New Roman" w:eastAsia="Times New Roman"/>
          <w:color w:val="auto"/>
        </w:rPr>
      </w:pPr>
      <w:bookmarkStart w:id="104" w:name="1.12_文件及信息的保密"/>
      <w:bookmarkEnd w:id="104"/>
      <w:r>
        <w:rPr>
          <w:color w:val="auto"/>
        </w:rPr>
        <w:t>文件及信息的保密</w:t>
      </w:r>
    </w:p>
    <w:p>
      <w:pPr>
        <w:pStyle w:val="8"/>
        <w:spacing w:before="181" w:line="417" w:lineRule="auto"/>
        <w:ind w:left="212" w:right="426" w:firstLine="420"/>
        <w:rPr>
          <w:color w:val="auto"/>
        </w:rPr>
      </w:pPr>
      <w:r>
        <w:rPr>
          <w:color w:val="auto"/>
          <w:spacing w:val="-6"/>
        </w:rPr>
        <w:t>未经对方同意，任何一方当事人不得将有关文件、技术秘密、需要保密的资料和信息泄露给他人或公</w:t>
      </w:r>
      <w:r>
        <w:rPr>
          <w:color w:val="auto"/>
          <w:spacing w:val="-4"/>
        </w:rPr>
        <w:t>开发表与引用。</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05" w:name="1.13_发包人要求中的错误（A）"/>
      <w:bookmarkEnd w:id="105"/>
      <w:r>
        <w:rPr>
          <w:color w:val="auto"/>
        </w:rPr>
        <w:t>发包人要求中的错误（</w:t>
      </w:r>
      <w:r>
        <w:rPr>
          <w:rFonts w:ascii="Times New Roman" w:eastAsia="Times New Roman"/>
          <w:color w:val="auto"/>
        </w:rPr>
        <w:t>A</w:t>
      </w:r>
      <w:r>
        <w:rPr>
          <w:color w:val="auto"/>
        </w:rPr>
        <w:t>）</w:t>
      </w:r>
    </w:p>
    <w:p>
      <w:pPr>
        <w:pStyle w:val="44"/>
        <w:numPr>
          <w:ilvl w:val="2"/>
          <w:numId w:val="22"/>
        </w:numPr>
        <w:tabs>
          <w:tab w:val="left" w:pos="1212"/>
        </w:tabs>
        <w:spacing w:before="181"/>
        <w:ind w:left="1211" w:hanging="579"/>
        <w:rPr>
          <w:color w:val="auto"/>
          <w:sz w:val="21"/>
        </w:rPr>
      </w:pPr>
      <w:r>
        <w:rPr>
          <w:color w:val="auto"/>
          <w:spacing w:val="-3"/>
          <w:sz w:val="21"/>
        </w:rPr>
        <w:t>承包人应认真阅读、复核发包人要求，发现错误的，应及时书面通知发包人。</w:t>
      </w:r>
    </w:p>
    <w:p>
      <w:pPr>
        <w:pStyle w:val="8"/>
        <w:spacing w:before="7"/>
        <w:rPr>
          <w:color w:val="auto"/>
          <w:sz w:val="15"/>
        </w:rPr>
      </w:pPr>
    </w:p>
    <w:p>
      <w:pPr>
        <w:pStyle w:val="44"/>
        <w:numPr>
          <w:ilvl w:val="2"/>
          <w:numId w:val="22"/>
        </w:numPr>
        <w:tabs>
          <w:tab w:val="left" w:pos="1243"/>
        </w:tabs>
        <w:ind w:left="1242" w:hanging="610"/>
        <w:rPr>
          <w:color w:val="auto"/>
          <w:sz w:val="21"/>
        </w:rPr>
      </w:pPr>
      <w:r>
        <w:rPr>
          <w:color w:val="auto"/>
          <w:spacing w:val="-3"/>
          <w:sz w:val="21"/>
        </w:rPr>
        <w:t>发包人要求中的错误导致承包人增加费用和(或)工期延误的，发包人应承担由此增加的费用和</w:t>
      </w:r>
    </w:p>
    <w:p>
      <w:pPr>
        <w:rPr>
          <w:color w:val="auto"/>
          <w:sz w:val="21"/>
        </w:rPr>
        <w:sectPr>
          <w:pgSz w:w="11910" w:h="16840"/>
          <w:pgMar w:top="1560" w:right="700" w:bottom="1180" w:left="920" w:header="0" w:footer="995" w:gutter="0"/>
          <w:cols w:space="720" w:num="1"/>
        </w:sectPr>
      </w:pPr>
    </w:p>
    <w:p>
      <w:pPr>
        <w:pStyle w:val="8"/>
        <w:spacing w:before="45"/>
        <w:ind w:left="212"/>
        <w:rPr>
          <w:color w:val="auto"/>
        </w:rPr>
      </w:pPr>
      <w:r>
        <w:rPr>
          <w:color w:val="auto"/>
        </w:rPr>
        <w:t xml:space="preserve">（或）工期延误，并向承包人支付合理利润。 </w:t>
      </w:r>
    </w:p>
    <w:p>
      <w:pPr>
        <w:pStyle w:val="41"/>
        <w:numPr>
          <w:ilvl w:val="1"/>
          <w:numId w:val="25"/>
        </w:numPr>
        <w:tabs>
          <w:tab w:val="left" w:pos="754"/>
        </w:tabs>
        <w:spacing w:before="179"/>
        <w:ind w:hanging="542"/>
        <w:rPr>
          <w:color w:val="auto"/>
        </w:rPr>
      </w:pPr>
      <w:bookmarkStart w:id="106" w:name="1.13_发包人要求中的错误（B）"/>
      <w:bookmarkEnd w:id="106"/>
      <w:r>
        <w:rPr>
          <w:color w:val="auto"/>
        </w:rPr>
        <w:t>发包人要求中的错误（</w:t>
      </w:r>
      <w:r>
        <w:rPr>
          <w:rFonts w:ascii="Times New Roman" w:eastAsia="Times New Roman"/>
          <w:color w:val="auto"/>
        </w:rPr>
        <w:t>B</w:t>
      </w:r>
      <w:r>
        <w:rPr>
          <w:color w:val="auto"/>
        </w:rPr>
        <w:t>）</w:t>
      </w:r>
    </w:p>
    <w:p>
      <w:pPr>
        <w:pStyle w:val="44"/>
        <w:numPr>
          <w:ilvl w:val="2"/>
          <w:numId w:val="25"/>
        </w:numPr>
        <w:tabs>
          <w:tab w:val="left" w:pos="1265"/>
        </w:tabs>
        <w:spacing w:before="181" w:line="417" w:lineRule="auto"/>
        <w:ind w:right="426" w:firstLine="420"/>
        <w:jc w:val="both"/>
        <w:rPr>
          <w:color w:val="auto"/>
          <w:sz w:val="21"/>
        </w:rPr>
      </w:pPr>
      <w:r>
        <w:rPr>
          <w:color w:val="auto"/>
          <w:spacing w:val="-7"/>
          <w:sz w:val="21"/>
        </w:rPr>
        <w:t>承包人应认真阅读、复核发包人要求，发现错误的，应及时书面通知发包人。发包人作相应修</w:t>
      </w:r>
      <w:r>
        <w:rPr>
          <w:color w:val="auto"/>
          <w:spacing w:val="-3"/>
          <w:sz w:val="21"/>
        </w:rPr>
        <w:t xml:space="preserve">改的，按照第 </w:t>
      </w:r>
      <w:r>
        <w:rPr>
          <w:color w:val="auto"/>
          <w:sz w:val="21"/>
        </w:rPr>
        <w:t>15</w:t>
      </w:r>
      <w:r>
        <w:rPr>
          <w:color w:val="auto"/>
          <w:spacing w:val="-3"/>
          <w:sz w:val="21"/>
        </w:rPr>
        <w:t xml:space="preserve"> 条约定处理。对确实存在的错误，发包人坚持不作修改的，应承担由此导致承包人增加的费用和(或)延误的工期。 </w:t>
      </w:r>
    </w:p>
    <w:p>
      <w:pPr>
        <w:pStyle w:val="44"/>
        <w:numPr>
          <w:ilvl w:val="2"/>
          <w:numId w:val="25"/>
        </w:numPr>
        <w:tabs>
          <w:tab w:val="left" w:pos="1267"/>
        </w:tabs>
        <w:spacing w:line="417" w:lineRule="auto"/>
        <w:ind w:right="429" w:firstLine="420"/>
        <w:jc w:val="both"/>
        <w:rPr>
          <w:color w:val="auto"/>
          <w:sz w:val="21"/>
        </w:rPr>
      </w:pPr>
      <w:r>
        <w:rPr>
          <w:color w:val="auto"/>
          <w:spacing w:val="-1"/>
          <w:sz w:val="21"/>
        </w:rPr>
        <w:t>承包人未发现发包人要求中存在错误的，承包人自行承担由此导致的费用增加和(或) 工期延</w:t>
      </w:r>
      <w:r>
        <w:rPr>
          <w:color w:val="auto"/>
          <w:spacing w:val="-3"/>
          <w:sz w:val="21"/>
        </w:rPr>
        <w:t>误，但专用合同条款另有约定的除外。</w:t>
      </w:r>
      <w:r>
        <w:rPr>
          <w:color w:val="auto"/>
          <w:sz w:val="21"/>
        </w:rPr>
        <w:t xml:space="preserve"> </w:t>
      </w:r>
    </w:p>
    <w:p>
      <w:pPr>
        <w:pStyle w:val="44"/>
        <w:numPr>
          <w:ilvl w:val="2"/>
          <w:numId w:val="25"/>
        </w:numPr>
        <w:tabs>
          <w:tab w:val="left" w:pos="1265"/>
        </w:tabs>
        <w:spacing w:line="417" w:lineRule="auto"/>
        <w:ind w:right="426" w:firstLine="420"/>
        <w:jc w:val="both"/>
        <w:rPr>
          <w:color w:val="auto"/>
          <w:sz w:val="21"/>
        </w:rPr>
      </w:pPr>
      <w:r>
        <w:rPr>
          <w:color w:val="auto"/>
          <w:spacing w:val="-5"/>
          <w:sz w:val="21"/>
        </w:rPr>
        <w:t xml:space="preserve">无论承包人发现与否，在任何情况下，发包人要求中的下列错误导致承包人增加的费用和(或) </w:t>
      </w:r>
      <w:r>
        <w:rPr>
          <w:color w:val="auto"/>
          <w:spacing w:val="-4"/>
          <w:sz w:val="21"/>
        </w:rPr>
        <w:t>延误的工期，由发包人承担，并向承包人支付合理利润。</w:t>
      </w:r>
      <w:r>
        <w:rPr>
          <w:color w:val="auto"/>
          <w:sz w:val="21"/>
        </w:rPr>
        <w:t xml:space="preserve"> </w:t>
      </w:r>
    </w:p>
    <w:p>
      <w:pPr>
        <w:pStyle w:val="44"/>
        <w:numPr>
          <w:ilvl w:val="0"/>
          <w:numId w:val="26"/>
        </w:numPr>
        <w:tabs>
          <w:tab w:val="left" w:pos="1163"/>
        </w:tabs>
        <w:ind w:hanging="530"/>
        <w:rPr>
          <w:color w:val="auto"/>
          <w:sz w:val="21"/>
        </w:rPr>
      </w:pPr>
      <w:r>
        <w:rPr>
          <w:color w:val="auto"/>
          <w:spacing w:val="-3"/>
          <w:sz w:val="21"/>
        </w:rPr>
        <w:t>发包人要求中引用的原始数据和资料；</w:t>
      </w:r>
    </w:p>
    <w:p>
      <w:pPr>
        <w:pStyle w:val="8"/>
        <w:spacing w:before="6"/>
        <w:rPr>
          <w:color w:val="auto"/>
          <w:sz w:val="15"/>
        </w:rPr>
      </w:pPr>
    </w:p>
    <w:p>
      <w:pPr>
        <w:pStyle w:val="44"/>
        <w:numPr>
          <w:ilvl w:val="0"/>
          <w:numId w:val="26"/>
        </w:numPr>
        <w:tabs>
          <w:tab w:val="left" w:pos="1163"/>
        </w:tabs>
        <w:ind w:hanging="530"/>
        <w:rPr>
          <w:color w:val="auto"/>
          <w:sz w:val="21"/>
        </w:rPr>
      </w:pPr>
      <w:r>
        <w:rPr>
          <w:color w:val="auto"/>
          <w:spacing w:val="-3"/>
          <w:sz w:val="21"/>
        </w:rPr>
        <w:t>对工程或其任何部分的功能要求；</w:t>
      </w:r>
    </w:p>
    <w:p>
      <w:pPr>
        <w:pStyle w:val="8"/>
        <w:spacing w:before="6"/>
        <w:rPr>
          <w:color w:val="auto"/>
          <w:sz w:val="15"/>
        </w:rPr>
      </w:pPr>
    </w:p>
    <w:p>
      <w:pPr>
        <w:pStyle w:val="44"/>
        <w:numPr>
          <w:ilvl w:val="0"/>
          <w:numId w:val="26"/>
        </w:numPr>
        <w:tabs>
          <w:tab w:val="left" w:pos="1163"/>
        </w:tabs>
        <w:spacing w:before="1"/>
        <w:ind w:hanging="530"/>
        <w:rPr>
          <w:color w:val="auto"/>
          <w:sz w:val="21"/>
        </w:rPr>
      </w:pPr>
      <w:r>
        <w:rPr>
          <w:color w:val="auto"/>
          <w:spacing w:val="-3"/>
          <w:sz w:val="21"/>
        </w:rPr>
        <w:t>对工程的工艺安排或要求；</w:t>
      </w:r>
    </w:p>
    <w:p>
      <w:pPr>
        <w:pStyle w:val="8"/>
        <w:spacing w:before="6"/>
        <w:rPr>
          <w:color w:val="auto"/>
          <w:sz w:val="15"/>
        </w:rPr>
      </w:pPr>
    </w:p>
    <w:p>
      <w:pPr>
        <w:pStyle w:val="44"/>
        <w:numPr>
          <w:ilvl w:val="0"/>
          <w:numId w:val="26"/>
        </w:numPr>
        <w:tabs>
          <w:tab w:val="left" w:pos="1163"/>
        </w:tabs>
        <w:ind w:hanging="530"/>
        <w:rPr>
          <w:color w:val="auto"/>
          <w:sz w:val="21"/>
        </w:rPr>
      </w:pPr>
      <w:r>
        <w:rPr>
          <w:color w:val="auto"/>
          <w:spacing w:val="-3"/>
          <w:sz w:val="21"/>
        </w:rPr>
        <w:t>试验和检验标准；</w:t>
      </w:r>
    </w:p>
    <w:p>
      <w:pPr>
        <w:pStyle w:val="8"/>
        <w:spacing w:before="7"/>
        <w:rPr>
          <w:color w:val="auto"/>
          <w:sz w:val="15"/>
        </w:rPr>
      </w:pPr>
    </w:p>
    <w:p>
      <w:pPr>
        <w:pStyle w:val="44"/>
        <w:numPr>
          <w:ilvl w:val="0"/>
          <w:numId w:val="26"/>
        </w:numPr>
        <w:tabs>
          <w:tab w:val="left" w:pos="1163"/>
        </w:tabs>
        <w:ind w:hanging="530"/>
        <w:rPr>
          <w:color w:val="auto"/>
          <w:sz w:val="21"/>
        </w:rPr>
      </w:pPr>
      <w:r>
        <w:rPr>
          <w:color w:val="auto"/>
          <w:spacing w:val="-3"/>
          <w:sz w:val="21"/>
        </w:rPr>
        <w:t>除合同另有约定外，承包人无法核实的数据和资料。</w:t>
      </w:r>
    </w:p>
    <w:p>
      <w:pPr>
        <w:pStyle w:val="41"/>
        <w:numPr>
          <w:ilvl w:val="1"/>
          <w:numId w:val="25"/>
        </w:numPr>
        <w:tabs>
          <w:tab w:val="left" w:pos="754"/>
        </w:tabs>
        <w:spacing w:before="179"/>
        <w:ind w:hanging="542"/>
        <w:rPr>
          <w:color w:val="auto"/>
        </w:rPr>
      </w:pPr>
      <w:bookmarkStart w:id="107" w:name="1.14_发包人要求违法"/>
      <w:bookmarkEnd w:id="107"/>
      <w:r>
        <w:rPr>
          <w:color w:val="auto"/>
        </w:rPr>
        <w:t>发包人要求违法</w:t>
      </w:r>
    </w:p>
    <w:p>
      <w:pPr>
        <w:pStyle w:val="8"/>
        <w:spacing w:before="181" w:line="417" w:lineRule="auto"/>
        <w:ind w:left="212" w:right="426" w:firstLine="420"/>
        <w:jc w:val="both"/>
        <w:rPr>
          <w:color w:val="auto"/>
        </w:rPr>
      </w:pPr>
      <w:r>
        <w:rPr>
          <w:color w:val="auto"/>
          <w:spacing w:val="-6"/>
        </w:rPr>
        <w:t>发包人要求违反法律规定的，承包人发现后应书面通知发包人，并要求其改正。发包人收到通知书后</w:t>
      </w:r>
      <w:r>
        <w:rPr>
          <w:color w:val="auto"/>
          <w:spacing w:val="-7"/>
        </w:rPr>
        <w:t>不予改正或不予答复的，承包人有权拒绝履行合同义务，直至解除合同。发包人应承担由此引起的承包人</w:t>
      </w:r>
      <w:r>
        <w:rPr>
          <w:color w:val="auto"/>
          <w:spacing w:val="-5"/>
        </w:rPr>
        <w:t>全部损失。</w:t>
      </w:r>
      <w:r>
        <w:rPr>
          <w:color w:val="auto"/>
        </w:rPr>
        <w:t xml:space="preserve"> </w:t>
      </w:r>
    </w:p>
    <w:p>
      <w:pPr>
        <w:pStyle w:val="8"/>
        <w:spacing w:before="10"/>
        <w:rPr>
          <w:color w:val="auto"/>
          <w:sz w:val="20"/>
        </w:rPr>
      </w:pPr>
    </w:p>
    <w:p>
      <w:pPr>
        <w:pStyle w:val="37"/>
        <w:numPr>
          <w:ilvl w:val="0"/>
          <w:numId w:val="22"/>
        </w:numPr>
        <w:tabs>
          <w:tab w:val="left" w:pos="725"/>
        </w:tabs>
        <w:ind w:left="724" w:hanging="513"/>
        <w:rPr>
          <w:rFonts w:ascii="Cambria" w:eastAsia="Cambria"/>
          <w:color w:val="auto"/>
          <w:sz w:val="30"/>
        </w:rPr>
      </w:pPr>
      <w:bookmarkStart w:id="108" w:name="2．发包人义务"/>
      <w:bookmarkEnd w:id="108"/>
      <w:r>
        <w:rPr>
          <w:color w:val="auto"/>
        </w:rPr>
        <w:t>发包人义务</w:t>
      </w:r>
    </w:p>
    <w:p>
      <w:pPr>
        <w:pStyle w:val="8"/>
        <w:spacing w:before="9"/>
        <w:rPr>
          <w:b/>
          <w:color w:val="auto"/>
          <w:sz w:val="34"/>
        </w:rPr>
      </w:pPr>
    </w:p>
    <w:p>
      <w:pPr>
        <w:pStyle w:val="41"/>
        <w:numPr>
          <w:ilvl w:val="1"/>
          <w:numId w:val="22"/>
        </w:numPr>
        <w:tabs>
          <w:tab w:val="left" w:pos="634"/>
        </w:tabs>
        <w:spacing w:before="1"/>
        <w:ind w:left="633" w:hanging="422"/>
        <w:rPr>
          <w:rFonts w:ascii="Times New Roman" w:eastAsia="Times New Roman"/>
          <w:color w:val="auto"/>
        </w:rPr>
      </w:pPr>
      <w:bookmarkStart w:id="109" w:name="2.1_遵守法律"/>
      <w:bookmarkEnd w:id="109"/>
      <w:r>
        <w:rPr>
          <w:color w:val="auto"/>
        </w:rPr>
        <w:t>遵守法律</w:t>
      </w:r>
    </w:p>
    <w:p>
      <w:pPr>
        <w:pStyle w:val="8"/>
        <w:spacing w:before="181"/>
        <w:ind w:left="633"/>
        <w:rPr>
          <w:color w:val="auto"/>
        </w:rPr>
      </w:pPr>
      <w:r>
        <w:rPr>
          <w:color w:val="auto"/>
        </w:rPr>
        <w:t>发包人在履行合同过程中应遵守法律，并保证承包人免于承担因发包人违反法律而引起的任何责任。</w:t>
      </w:r>
    </w:p>
    <w:p>
      <w:pPr>
        <w:pStyle w:val="41"/>
        <w:numPr>
          <w:ilvl w:val="1"/>
          <w:numId w:val="22"/>
        </w:numPr>
        <w:tabs>
          <w:tab w:val="left" w:pos="634"/>
        </w:tabs>
        <w:spacing w:before="178"/>
        <w:ind w:left="633" w:hanging="422"/>
        <w:rPr>
          <w:rFonts w:ascii="Times New Roman" w:eastAsia="Times New Roman"/>
          <w:color w:val="auto"/>
        </w:rPr>
      </w:pPr>
      <w:bookmarkStart w:id="110" w:name="2.2_发出承包人开始工作通知"/>
      <w:bookmarkEnd w:id="110"/>
      <w:r>
        <w:rPr>
          <w:color w:val="auto"/>
        </w:rPr>
        <w:t>发出承包人开始工作通知</w:t>
      </w:r>
    </w:p>
    <w:p>
      <w:pPr>
        <w:pStyle w:val="8"/>
        <w:spacing w:before="182"/>
        <w:ind w:left="633"/>
        <w:rPr>
          <w:color w:val="auto"/>
        </w:rPr>
      </w:pPr>
      <w:r>
        <w:rPr>
          <w:color w:val="auto"/>
        </w:rPr>
        <w:t xml:space="preserve">发包人应委托监理人按第 11.1 款的约定向承包人发出开始工作通知。 </w:t>
      </w:r>
    </w:p>
    <w:p>
      <w:pPr>
        <w:pStyle w:val="41"/>
        <w:numPr>
          <w:ilvl w:val="1"/>
          <w:numId w:val="22"/>
        </w:numPr>
        <w:tabs>
          <w:tab w:val="left" w:pos="634"/>
        </w:tabs>
        <w:spacing w:before="178"/>
        <w:ind w:left="633" w:hanging="422"/>
        <w:rPr>
          <w:rFonts w:ascii="Times New Roman" w:eastAsia="Times New Roman"/>
          <w:color w:val="auto"/>
        </w:rPr>
      </w:pPr>
      <w:r>
        <w:rPr>
          <w:color w:val="auto"/>
        </w:rPr>
        <w:t>提供施工场地</w:t>
      </w:r>
    </w:p>
    <w:p>
      <w:pPr>
        <w:pStyle w:val="8"/>
        <w:spacing w:before="181"/>
        <w:ind w:left="633"/>
        <w:rPr>
          <w:color w:val="auto"/>
        </w:rPr>
      </w:pPr>
      <w:r>
        <w:rPr>
          <w:color w:val="auto"/>
        </w:rPr>
        <w:t xml:space="preserve">发包人应按专用合同条款约定向承包人提供施工场地及进场施工条件，并明确与承包人的交接界面。 </w:t>
      </w:r>
    </w:p>
    <w:p>
      <w:pPr>
        <w:pStyle w:val="41"/>
        <w:numPr>
          <w:ilvl w:val="1"/>
          <w:numId w:val="22"/>
        </w:numPr>
        <w:tabs>
          <w:tab w:val="left" w:pos="634"/>
        </w:tabs>
        <w:spacing w:before="179"/>
        <w:ind w:left="633" w:hanging="422"/>
        <w:rPr>
          <w:rFonts w:ascii="Times New Roman" w:eastAsia="Times New Roman"/>
          <w:color w:val="auto"/>
        </w:rPr>
      </w:pPr>
      <w:bookmarkStart w:id="111" w:name="2.4_办理证件和批件"/>
      <w:bookmarkEnd w:id="111"/>
      <w:r>
        <w:rPr>
          <w:color w:val="auto"/>
        </w:rPr>
        <w:t>办理证件和批件</w:t>
      </w:r>
    </w:p>
    <w:p>
      <w:pPr>
        <w:pStyle w:val="8"/>
        <w:spacing w:before="180" w:line="417" w:lineRule="auto"/>
        <w:ind w:left="212" w:right="321" w:firstLine="420"/>
        <w:rPr>
          <w:color w:val="auto"/>
        </w:rPr>
      </w:pPr>
      <w:r>
        <w:rPr>
          <w:color w:val="auto"/>
          <w:spacing w:val="-10"/>
        </w:rPr>
        <w:t>法律规定和</w:t>
      </w:r>
      <w:r>
        <w:rPr>
          <w:color w:val="auto"/>
        </w:rPr>
        <w:t>（或</w:t>
      </w:r>
      <w:r>
        <w:rPr>
          <w:color w:val="auto"/>
          <w:spacing w:val="-46"/>
        </w:rPr>
        <w:t>）</w:t>
      </w:r>
      <w:r>
        <w:rPr>
          <w:color w:val="auto"/>
          <w:spacing w:val="-5"/>
        </w:rPr>
        <w:t xml:space="preserve">合同约定由发包人负责办理的工程建设项目必须履行的各类审批、核准或备案手续， </w:t>
      </w:r>
      <w:r>
        <w:rPr>
          <w:color w:val="auto"/>
          <w:spacing w:val="-4"/>
        </w:rPr>
        <w:t>发包人应按时办理。</w:t>
      </w:r>
      <w:r>
        <w:rPr>
          <w:color w:val="auto"/>
        </w:rPr>
        <w:t xml:space="preserve"> </w:t>
      </w:r>
    </w:p>
    <w:p>
      <w:pPr>
        <w:spacing w:line="417" w:lineRule="auto"/>
        <w:rPr>
          <w:color w:val="auto"/>
        </w:rPr>
        <w:sectPr>
          <w:pgSz w:w="11910" w:h="16840"/>
          <w:pgMar w:top="1560" w:right="700" w:bottom="1180" w:left="920" w:header="0" w:footer="995" w:gutter="0"/>
          <w:cols w:space="720" w:num="1"/>
        </w:sectPr>
      </w:pPr>
    </w:p>
    <w:p>
      <w:pPr>
        <w:pStyle w:val="8"/>
        <w:spacing w:before="45"/>
        <w:ind w:left="633"/>
        <w:rPr>
          <w:color w:val="auto"/>
        </w:rPr>
      </w:pPr>
      <w:r>
        <w:rPr>
          <w:color w:val="auto"/>
        </w:rPr>
        <w:t xml:space="preserve">法律规定和（或）合同约定由承包人负责的有关设计、施工证件和批件，发包人应给予必要的协助。 </w:t>
      </w:r>
    </w:p>
    <w:p>
      <w:pPr>
        <w:pStyle w:val="41"/>
        <w:numPr>
          <w:ilvl w:val="1"/>
          <w:numId w:val="22"/>
        </w:numPr>
        <w:tabs>
          <w:tab w:val="left" w:pos="634"/>
        </w:tabs>
        <w:spacing w:before="179"/>
        <w:ind w:left="633" w:hanging="422"/>
        <w:rPr>
          <w:rFonts w:ascii="Times New Roman" w:eastAsia="Times New Roman"/>
          <w:color w:val="auto"/>
        </w:rPr>
      </w:pPr>
      <w:bookmarkStart w:id="112" w:name="2.5_支付合同价款"/>
      <w:bookmarkEnd w:id="112"/>
      <w:r>
        <w:rPr>
          <w:color w:val="auto"/>
        </w:rPr>
        <w:t>支付合同价款</w:t>
      </w:r>
    </w:p>
    <w:p>
      <w:pPr>
        <w:pStyle w:val="8"/>
        <w:spacing w:before="181" w:line="417" w:lineRule="auto"/>
        <w:ind w:left="212" w:right="405" w:firstLine="420"/>
        <w:rPr>
          <w:color w:val="auto"/>
        </w:rPr>
      </w:pPr>
      <w:r>
        <w:rPr>
          <w:color w:val="auto"/>
        </w:rPr>
        <w:t xml:space="preserve">发包人应按合同约定向承包人及时支付合同价款。专用合同条款对发包人工程款支付担保有约定的， 从其约定。 </w:t>
      </w:r>
    </w:p>
    <w:p>
      <w:pPr>
        <w:pStyle w:val="41"/>
        <w:numPr>
          <w:ilvl w:val="1"/>
          <w:numId w:val="22"/>
        </w:numPr>
        <w:tabs>
          <w:tab w:val="left" w:pos="634"/>
        </w:tabs>
        <w:spacing w:line="287" w:lineRule="exact"/>
        <w:ind w:left="633" w:hanging="422"/>
        <w:rPr>
          <w:rFonts w:ascii="Times New Roman" w:eastAsia="Times New Roman"/>
          <w:color w:val="auto"/>
        </w:rPr>
      </w:pPr>
      <w:bookmarkStart w:id="113" w:name="2.6_组织竣工验收"/>
      <w:bookmarkEnd w:id="113"/>
      <w:r>
        <w:rPr>
          <w:color w:val="auto"/>
        </w:rPr>
        <w:t>组织竣工验收</w:t>
      </w:r>
    </w:p>
    <w:p>
      <w:pPr>
        <w:pStyle w:val="8"/>
        <w:spacing w:before="181"/>
        <w:ind w:left="633"/>
        <w:rPr>
          <w:color w:val="auto"/>
        </w:rPr>
      </w:pPr>
      <w:r>
        <w:rPr>
          <w:color w:val="auto"/>
        </w:rPr>
        <w:t xml:space="preserve">发包人应按合同约定及时组织竣工验收。 </w:t>
      </w:r>
    </w:p>
    <w:p>
      <w:pPr>
        <w:pStyle w:val="41"/>
        <w:numPr>
          <w:ilvl w:val="1"/>
          <w:numId w:val="22"/>
        </w:numPr>
        <w:tabs>
          <w:tab w:val="left" w:pos="634"/>
        </w:tabs>
        <w:spacing w:before="178"/>
        <w:ind w:left="633" w:hanging="422"/>
        <w:rPr>
          <w:rFonts w:ascii="Times New Roman" w:eastAsia="Times New Roman"/>
          <w:color w:val="auto"/>
        </w:rPr>
      </w:pPr>
      <w:bookmarkStart w:id="114" w:name="2.7_其他义务"/>
      <w:bookmarkEnd w:id="114"/>
      <w:r>
        <w:rPr>
          <w:color w:val="auto"/>
        </w:rPr>
        <w:t>其他义务</w:t>
      </w:r>
    </w:p>
    <w:p>
      <w:pPr>
        <w:pStyle w:val="8"/>
        <w:spacing w:before="181"/>
        <w:ind w:left="633"/>
        <w:rPr>
          <w:color w:val="auto"/>
        </w:rPr>
      </w:pPr>
      <w:r>
        <w:rPr>
          <w:color w:val="auto"/>
        </w:rPr>
        <w:t xml:space="preserve">发包人应履行合同约定的其他义务。 </w:t>
      </w:r>
    </w:p>
    <w:p>
      <w:pPr>
        <w:pStyle w:val="8"/>
        <w:rPr>
          <w:color w:val="auto"/>
          <w:sz w:val="20"/>
        </w:rPr>
      </w:pPr>
    </w:p>
    <w:p>
      <w:pPr>
        <w:pStyle w:val="8"/>
        <w:spacing w:before="5"/>
        <w:rPr>
          <w:color w:val="auto"/>
          <w:sz w:val="16"/>
        </w:rPr>
      </w:pPr>
    </w:p>
    <w:p>
      <w:pPr>
        <w:pStyle w:val="37"/>
        <w:numPr>
          <w:ilvl w:val="0"/>
          <w:numId w:val="22"/>
        </w:numPr>
        <w:tabs>
          <w:tab w:val="left" w:pos="639"/>
        </w:tabs>
        <w:ind w:left="638" w:hanging="427"/>
        <w:rPr>
          <w:rFonts w:ascii="Cambria" w:eastAsia="Cambria"/>
          <w:color w:val="auto"/>
        </w:rPr>
      </w:pPr>
      <w:bookmarkStart w:id="115" w:name="3._监理人"/>
      <w:bookmarkEnd w:id="115"/>
      <w:r>
        <w:rPr>
          <w:color w:val="auto"/>
        </w:rPr>
        <w:t>监理人</w:t>
      </w:r>
    </w:p>
    <w:p>
      <w:pPr>
        <w:pStyle w:val="8"/>
        <w:spacing w:before="12"/>
        <w:rPr>
          <w:b/>
          <w:color w:val="auto"/>
          <w:sz w:val="34"/>
        </w:rPr>
      </w:pPr>
    </w:p>
    <w:p>
      <w:pPr>
        <w:pStyle w:val="41"/>
        <w:numPr>
          <w:ilvl w:val="1"/>
          <w:numId w:val="22"/>
        </w:numPr>
        <w:tabs>
          <w:tab w:val="left" w:pos="634"/>
        </w:tabs>
        <w:ind w:left="633" w:hanging="422"/>
        <w:rPr>
          <w:rFonts w:ascii="Times New Roman" w:eastAsia="Times New Roman"/>
          <w:color w:val="auto"/>
        </w:rPr>
      </w:pPr>
      <w:r>
        <w:rPr>
          <w:color w:val="auto"/>
        </w:rPr>
        <w:t>监理人的职责和权力</w:t>
      </w:r>
    </w:p>
    <w:p>
      <w:pPr>
        <w:pStyle w:val="44"/>
        <w:numPr>
          <w:ilvl w:val="2"/>
          <w:numId w:val="22"/>
        </w:numPr>
        <w:tabs>
          <w:tab w:val="left" w:pos="1159"/>
        </w:tabs>
        <w:spacing w:before="181" w:line="417" w:lineRule="auto"/>
        <w:ind w:left="212" w:right="323" w:firstLine="420"/>
        <w:rPr>
          <w:color w:val="auto"/>
          <w:sz w:val="21"/>
        </w:rPr>
      </w:pPr>
      <w:r>
        <w:rPr>
          <w:color w:val="auto"/>
          <w:spacing w:val="-5"/>
          <w:sz w:val="21"/>
        </w:rPr>
        <w:t>监理人受发包人委托，享有合同约定的权力，其所发出的任何指示应视为已得到发包人的批准。</w:t>
      </w:r>
      <w:r>
        <w:rPr>
          <w:color w:val="auto"/>
          <w:spacing w:val="-4"/>
          <w:sz w:val="21"/>
        </w:rPr>
        <w:t>监理人在行使某项权力前需要经发包人事先批准而通用合同条款没有指明的，应在专用合同条款中指明。</w:t>
      </w:r>
      <w:r>
        <w:rPr>
          <w:color w:val="auto"/>
          <w:spacing w:val="-3"/>
          <w:sz w:val="21"/>
        </w:rPr>
        <w:t xml:space="preserve">未经发包人批准，监理人无权修改合同。 </w:t>
      </w:r>
    </w:p>
    <w:p>
      <w:pPr>
        <w:pStyle w:val="44"/>
        <w:numPr>
          <w:ilvl w:val="2"/>
          <w:numId w:val="22"/>
        </w:numPr>
        <w:tabs>
          <w:tab w:val="left" w:pos="1162"/>
        </w:tabs>
        <w:spacing w:line="417" w:lineRule="auto"/>
        <w:ind w:left="212" w:right="431" w:firstLine="420"/>
        <w:rPr>
          <w:color w:val="auto"/>
          <w:sz w:val="21"/>
        </w:rPr>
      </w:pPr>
      <w:r>
        <w:rPr>
          <w:color w:val="auto"/>
          <w:spacing w:val="-1"/>
          <w:sz w:val="21"/>
        </w:rPr>
        <w:t>合同约定应由承包人承担的义务和责任，不因监理人对承包人文件的审查或批准，对工程、材</w:t>
      </w:r>
      <w:r>
        <w:rPr>
          <w:color w:val="auto"/>
          <w:spacing w:val="-3"/>
          <w:sz w:val="21"/>
        </w:rPr>
        <w:t xml:space="preserve">料和工程设备的检查和检验，以及为实施监理作出的指示等职务行为而减轻或解除。 </w:t>
      </w:r>
    </w:p>
    <w:p>
      <w:pPr>
        <w:pStyle w:val="41"/>
        <w:numPr>
          <w:ilvl w:val="1"/>
          <w:numId w:val="22"/>
        </w:numPr>
        <w:tabs>
          <w:tab w:val="left" w:pos="634"/>
        </w:tabs>
        <w:spacing w:line="285" w:lineRule="exact"/>
        <w:ind w:left="633" w:hanging="422"/>
        <w:rPr>
          <w:rFonts w:ascii="Times New Roman" w:eastAsia="Times New Roman"/>
          <w:color w:val="auto"/>
        </w:rPr>
      </w:pPr>
      <w:bookmarkStart w:id="116" w:name="3.2_总监理工程师"/>
      <w:bookmarkEnd w:id="116"/>
      <w:r>
        <w:rPr>
          <w:color w:val="auto"/>
        </w:rPr>
        <w:t>总监理工程师</w:t>
      </w:r>
    </w:p>
    <w:p>
      <w:pPr>
        <w:pStyle w:val="8"/>
        <w:spacing w:before="180" w:line="417" w:lineRule="auto"/>
        <w:ind w:left="212" w:right="328" w:firstLine="420"/>
        <w:rPr>
          <w:color w:val="auto"/>
        </w:rPr>
      </w:pPr>
      <w:r>
        <w:rPr>
          <w:color w:val="auto"/>
          <w:spacing w:val="-7"/>
        </w:rPr>
        <w:t xml:space="preserve">发包人应在发出开始工作通知前将总监理工程师的任命通知承包人。总监理工程师更换时，应提前 </w:t>
      </w:r>
      <w:r>
        <w:rPr>
          <w:color w:val="auto"/>
          <w:spacing w:val="-3"/>
        </w:rPr>
        <w:t>14 天通知承包人。总监理工程师超过２天不能履行职责的，应委派代表代行其职责，并通知承包人。</w:t>
      </w:r>
      <w:r>
        <w:rPr>
          <w:color w:val="auto"/>
        </w:rPr>
        <w:t xml:space="preserve"> </w:t>
      </w:r>
    </w:p>
    <w:p>
      <w:pPr>
        <w:pStyle w:val="41"/>
        <w:numPr>
          <w:ilvl w:val="1"/>
          <w:numId w:val="22"/>
        </w:numPr>
        <w:tabs>
          <w:tab w:val="left" w:pos="634"/>
        </w:tabs>
        <w:spacing w:line="287" w:lineRule="exact"/>
        <w:ind w:left="633" w:hanging="422"/>
        <w:rPr>
          <w:rFonts w:ascii="Times New Roman" w:eastAsia="Times New Roman"/>
          <w:color w:val="auto"/>
        </w:rPr>
      </w:pPr>
      <w:bookmarkStart w:id="117" w:name="3.3_监理人员"/>
      <w:bookmarkEnd w:id="117"/>
      <w:r>
        <w:rPr>
          <w:color w:val="auto"/>
        </w:rPr>
        <w:t>监理人员</w:t>
      </w:r>
    </w:p>
    <w:p>
      <w:pPr>
        <w:pStyle w:val="44"/>
        <w:numPr>
          <w:ilvl w:val="2"/>
          <w:numId w:val="22"/>
        </w:numPr>
        <w:tabs>
          <w:tab w:val="left" w:pos="1057"/>
        </w:tabs>
        <w:spacing w:before="181" w:line="417" w:lineRule="auto"/>
        <w:ind w:left="212" w:right="426" w:firstLine="420"/>
        <w:jc w:val="both"/>
        <w:rPr>
          <w:color w:val="auto"/>
          <w:sz w:val="21"/>
        </w:rPr>
      </w:pPr>
      <w:r>
        <w:rPr>
          <w:color w:val="auto"/>
          <w:sz w:val="21"/>
        </w:rPr>
        <w:t>总监理工程师可以授权其他监理人员负责执行其指派的一项或多项监理工作。总监理工程师应</w:t>
      </w:r>
      <w:r>
        <w:rPr>
          <w:color w:val="auto"/>
          <w:spacing w:val="-4"/>
          <w:sz w:val="21"/>
        </w:rPr>
        <w:t>将被授权监理人员的姓名及其授权范围通知承包人。被授权的监理人员在授权范围内发出的指示视为已得</w:t>
      </w:r>
      <w:r>
        <w:rPr>
          <w:color w:val="auto"/>
          <w:spacing w:val="-6"/>
          <w:sz w:val="21"/>
        </w:rPr>
        <w:t>到总监理工程师的同意，与总监理工程师发出的指示具有同等效力。总监理工程师撤销某项授权时，应将</w:t>
      </w:r>
      <w:r>
        <w:rPr>
          <w:color w:val="auto"/>
          <w:spacing w:val="-4"/>
          <w:sz w:val="21"/>
        </w:rPr>
        <w:t>撤销授权的决定及时通知发包人和承包人。</w:t>
      </w:r>
      <w:r>
        <w:rPr>
          <w:color w:val="auto"/>
          <w:sz w:val="21"/>
        </w:rPr>
        <w:t xml:space="preserve"> </w:t>
      </w:r>
    </w:p>
    <w:p>
      <w:pPr>
        <w:pStyle w:val="44"/>
        <w:numPr>
          <w:ilvl w:val="2"/>
          <w:numId w:val="22"/>
        </w:numPr>
        <w:tabs>
          <w:tab w:val="left" w:pos="1162"/>
        </w:tabs>
        <w:spacing w:line="417" w:lineRule="auto"/>
        <w:ind w:left="212" w:right="426" w:firstLine="420"/>
        <w:jc w:val="both"/>
        <w:rPr>
          <w:color w:val="auto"/>
          <w:sz w:val="21"/>
        </w:rPr>
      </w:pPr>
      <w:r>
        <w:rPr>
          <w:color w:val="auto"/>
          <w:sz w:val="21"/>
        </w:rPr>
        <w:t>总监理工程师授权的监理人员对承包人文件、工程或其采用的材料和工程设备未在约定的或合</w:t>
      </w:r>
      <w:r>
        <w:rPr>
          <w:color w:val="auto"/>
          <w:spacing w:val="-7"/>
          <w:sz w:val="21"/>
        </w:rPr>
        <w:t>理的期限内提出否定意见的，视为已获批准，但不影响监理人在以后拒绝该项工作、工程、材料或工程设</w:t>
      </w:r>
      <w:r>
        <w:rPr>
          <w:color w:val="auto"/>
          <w:spacing w:val="-5"/>
          <w:sz w:val="21"/>
        </w:rPr>
        <w:t xml:space="preserve">备的权利，监理人的拒绝应当符合法律规定和合同约定。 </w:t>
      </w:r>
    </w:p>
    <w:p>
      <w:pPr>
        <w:pStyle w:val="44"/>
        <w:numPr>
          <w:ilvl w:val="2"/>
          <w:numId w:val="22"/>
        </w:numPr>
        <w:tabs>
          <w:tab w:val="left" w:pos="1057"/>
        </w:tabs>
        <w:spacing w:line="269" w:lineRule="exact"/>
        <w:ind w:left="1056" w:hanging="424"/>
        <w:jc w:val="both"/>
        <w:rPr>
          <w:color w:val="auto"/>
          <w:sz w:val="21"/>
        </w:rPr>
      </w:pPr>
      <w:r>
        <w:rPr>
          <w:color w:val="auto"/>
          <w:spacing w:val="-6"/>
          <w:sz w:val="21"/>
        </w:rPr>
        <w:t xml:space="preserve">承包人对总监理工程师授权的监理人员发出的指示有疑问的，可在该指示发出的 </w:t>
      </w:r>
      <w:r>
        <w:rPr>
          <w:color w:val="auto"/>
          <w:sz w:val="21"/>
        </w:rPr>
        <w:t>48</w:t>
      </w:r>
      <w:r>
        <w:rPr>
          <w:color w:val="auto"/>
          <w:spacing w:val="-10"/>
          <w:sz w:val="21"/>
        </w:rPr>
        <w:t xml:space="preserve"> 小时内向总</w:t>
      </w:r>
    </w:p>
    <w:p>
      <w:pPr>
        <w:pStyle w:val="8"/>
        <w:spacing w:before="7"/>
        <w:rPr>
          <w:color w:val="auto"/>
          <w:sz w:val="15"/>
        </w:rPr>
      </w:pPr>
    </w:p>
    <w:p>
      <w:pPr>
        <w:pStyle w:val="8"/>
        <w:ind w:left="212"/>
        <w:rPr>
          <w:color w:val="auto"/>
        </w:rPr>
      </w:pPr>
      <w:r>
        <w:rPr>
          <w:color w:val="auto"/>
        </w:rPr>
        <w:t xml:space="preserve">监理工程师提出书面异议，总监理工程师应在 </w:t>
      </w:r>
      <w:r>
        <w:rPr>
          <w:rFonts w:ascii="Times New Roman" w:eastAsia="Times New Roman"/>
          <w:color w:val="auto"/>
        </w:rPr>
        <w:t xml:space="preserve">48 </w:t>
      </w:r>
      <w:r>
        <w:rPr>
          <w:color w:val="auto"/>
        </w:rPr>
        <w:t xml:space="preserve">小时内对该指示予以确认、更改或撤销。 </w:t>
      </w:r>
    </w:p>
    <w:p>
      <w:pPr>
        <w:rPr>
          <w:color w:val="auto"/>
        </w:rPr>
        <w:sectPr>
          <w:pgSz w:w="11910" w:h="16840"/>
          <w:pgMar w:top="1560" w:right="700" w:bottom="1180" w:left="920" w:header="0" w:footer="995" w:gutter="0"/>
          <w:cols w:space="720" w:num="1"/>
        </w:sectPr>
      </w:pPr>
    </w:p>
    <w:p>
      <w:pPr>
        <w:pStyle w:val="44"/>
        <w:numPr>
          <w:ilvl w:val="2"/>
          <w:numId w:val="22"/>
        </w:numPr>
        <w:tabs>
          <w:tab w:val="left" w:pos="1057"/>
        </w:tabs>
        <w:spacing w:before="65" w:line="417" w:lineRule="auto"/>
        <w:ind w:left="212" w:right="426" w:firstLine="420"/>
        <w:rPr>
          <w:color w:val="auto"/>
          <w:sz w:val="21"/>
        </w:rPr>
      </w:pPr>
      <w:r>
        <w:rPr>
          <w:color w:val="auto"/>
          <w:spacing w:val="-3"/>
          <w:sz w:val="21"/>
        </w:rPr>
        <w:t xml:space="preserve">除专用合同条款另有约定外，总监理工程师不应将第 </w:t>
      </w:r>
      <w:r>
        <w:rPr>
          <w:rFonts w:ascii="Times New Roman" w:eastAsia="Times New Roman"/>
          <w:color w:val="auto"/>
          <w:sz w:val="21"/>
        </w:rPr>
        <w:t>3.5</w:t>
      </w:r>
      <w:r>
        <w:rPr>
          <w:rFonts w:ascii="Times New Roman" w:eastAsia="Times New Roman"/>
          <w:color w:val="auto"/>
          <w:spacing w:val="16"/>
          <w:sz w:val="21"/>
        </w:rPr>
        <w:t xml:space="preserve"> </w:t>
      </w:r>
      <w:r>
        <w:rPr>
          <w:color w:val="auto"/>
          <w:spacing w:val="-3"/>
          <w:sz w:val="21"/>
        </w:rPr>
        <w:t xml:space="preserve">款约定应由总监理工程师作出确定的权力授权或委托给其他监理人员。 </w:t>
      </w:r>
    </w:p>
    <w:p>
      <w:pPr>
        <w:pStyle w:val="41"/>
        <w:numPr>
          <w:ilvl w:val="1"/>
          <w:numId w:val="22"/>
        </w:numPr>
        <w:tabs>
          <w:tab w:val="left" w:pos="634"/>
        </w:tabs>
        <w:spacing w:line="287" w:lineRule="exact"/>
        <w:ind w:left="633" w:hanging="422"/>
        <w:rPr>
          <w:rFonts w:ascii="Times New Roman" w:eastAsia="Times New Roman"/>
          <w:color w:val="auto"/>
        </w:rPr>
      </w:pPr>
      <w:bookmarkStart w:id="118" w:name="3.4_监理人的指示"/>
      <w:bookmarkEnd w:id="118"/>
      <w:r>
        <w:rPr>
          <w:color w:val="auto"/>
        </w:rPr>
        <w:t>监理人的指示</w:t>
      </w:r>
    </w:p>
    <w:p>
      <w:pPr>
        <w:pStyle w:val="44"/>
        <w:numPr>
          <w:ilvl w:val="2"/>
          <w:numId w:val="22"/>
        </w:numPr>
        <w:tabs>
          <w:tab w:val="left" w:pos="1162"/>
        </w:tabs>
        <w:spacing w:before="181" w:line="417" w:lineRule="auto"/>
        <w:ind w:left="212" w:right="429" w:firstLine="420"/>
        <w:rPr>
          <w:color w:val="auto"/>
          <w:sz w:val="21"/>
        </w:rPr>
      </w:pPr>
      <w:r>
        <w:rPr>
          <w:color w:val="auto"/>
          <w:spacing w:val="2"/>
          <w:sz w:val="21"/>
        </w:rPr>
        <w:t xml:space="preserve">监理人应按第 </w:t>
      </w:r>
      <w:r>
        <w:rPr>
          <w:rFonts w:ascii="Times New Roman" w:eastAsia="Times New Roman"/>
          <w:color w:val="auto"/>
          <w:sz w:val="21"/>
        </w:rPr>
        <w:t>3.1</w:t>
      </w:r>
      <w:r>
        <w:rPr>
          <w:rFonts w:ascii="Times New Roman" w:eastAsia="Times New Roman"/>
          <w:color w:val="auto"/>
          <w:spacing w:val="19"/>
          <w:sz w:val="21"/>
        </w:rPr>
        <w:t xml:space="preserve"> </w:t>
      </w:r>
      <w:r>
        <w:rPr>
          <w:color w:val="auto"/>
          <w:spacing w:val="-3"/>
          <w:sz w:val="21"/>
        </w:rPr>
        <w:t xml:space="preserve">款的约定向承包人发出指示，监理人的指示应盖有监理人授权的项目管理机构章，并由总监理工程师或总监理工程师约定授权的监理人员签字。 </w:t>
      </w:r>
    </w:p>
    <w:p>
      <w:pPr>
        <w:pStyle w:val="44"/>
        <w:numPr>
          <w:ilvl w:val="2"/>
          <w:numId w:val="22"/>
        </w:numPr>
        <w:tabs>
          <w:tab w:val="left" w:pos="1159"/>
        </w:tabs>
        <w:spacing w:line="269" w:lineRule="exact"/>
        <w:ind w:left="1158" w:hanging="526"/>
        <w:rPr>
          <w:color w:val="auto"/>
          <w:sz w:val="21"/>
        </w:rPr>
      </w:pPr>
      <w:r>
        <w:rPr>
          <w:color w:val="auto"/>
          <w:spacing w:val="-5"/>
          <w:sz w:val="21"/>
        </w:rPr>
        <w:t xml:space="preserve">承包人收到监理人作出的指示后应遵照执行。指示构成变更的，应按第 </w:t>
      </w:r>
      <w:r>
        <w:rPr>
          <w:rFonts w:ascii="Times New Roman" w:eastAsia="Times New Roman"/>
          <w:color w:val="auto"/>
          <w:sz w:val="21"/>
        </w:rPr>
        <w:t>15</w:t>
      </w:r>
      <w:r>
        <w:rPr>
          <w:rFonts w:ascii="Times New Roman" w:eastAsia="Times New Roman"/>
          <w:color w:val="auto"/>
          <w:spacing w:val="1"/>
          <w:sz w:val="21"/>
        </w:rPr>
        <w:t xml:space="preserve"> </w:t>
      </w:r>
      <w:r>
        <w:rPr>
          <w:color w:val="auto"/>
          <w:spacing w:val="-3"/>
          <w:sz w:val="21"/>
        </w:rPr>
        <w:t>条执行。</w:t>
      </w:r>
      <w:r>
        <w:rPr>
          <w:color w:val="auto"/>
          <w:sz w:val="21"/>
        </w:rPr>
        <w:t xml:space="preserve"> </w:t>
      </w:r>
    </w:p>
    <w:p>
      <w:pPr>
        <w:pStyle w:val="8"/>
        <w:spacing w:before="7"/>
        <w:rPr>
          <w:color w:val="auto"/>
          <w:sz w:val="15"/>
        </w:rPr>
      </w:pPr>
    </w:p>
    <w:p>
      <w:pPr>
        <w:pStyle w:val="44"/>
        <w:numPr>
          <w:ilvl w:val="2"/>
          <w:numId w:val="22"/>
        </w:numPr>
        <w:tabs>
          <w:tab w:val="left" w:pos="1162"/>
        </w:tabs>
        <w:spacing w:line="417" w:lineRule="auto"/>
        <w:ind w:left="212" w:right="323" w:firstLine="420"/>
        <w:rPr>
          <w:color w:val="auto"/>
          <w:sz w:val="21"/>
        </w:rPr>
      </w:pPr>
      <w:r>
        <w:rPr>
          <w:color w:val="auto"/>
          <w:sz w:val="21"/>
        </w:rPr>
        <w:t>在紧急情况下，总监理工程师或其授权的监理人员可以当场签发临时书面指示，承包人应遵照</w:t>
      </w:r>
      <w:r>
        <w:rPr>
          <w:color w:val="auto"/>
          <w:spacing w:val="-12"/>
          <w:sz w:val="21"/>
        </w:rPr>
        <w:t xml:space="preserve">执行。监理应在临时书面指示发出后 </w:t>
      </w:r>
      <w:r>
        <w:rPr>
          <w:color w:val="auto"/>
          <w:sz w:val="21"/>
        </w:rPr>
        <w:t>24</w:t>
      </w:r>
      <w:r>
        <w:rPr>
          <w:color w:val="auto"/>
          <w:spacing w:val="-14"/>
          <w:sz w:val="21"/>
        </w:rPr>
        <w:t xml:space="preserve"> 小时内发出书面确认函，监理人在 </w:t>
      </w:r>
      <w:r>
        <w:rPr>
          <w:rFonts w:ascii="Times New Roman" w:eastAsia="Times New Roman"/>
          <w:color w:val="auto"/>
          <w:sz w:val="21"/>
        </w:rPr>
        <w:t>24</w:t>
      </w:r>
      <w:r>
        <w:rPr>
          <w:rFonts w:ascii="Times New Roman" w:eastAsia="Times New Roman"/>
          <w:color w:val="auto"/>
          <w:spacing w:val="9"/>
          <w:sz w:val="21"/>
        </w:rPr>
        <w:t xml:space="preserve"> </w:t>
      </w:r>
      <w:r>
        <w:rPr>
          <w:color w:val="auto"/>
          <w:spacing w:val="-3"/>
          <w:sz w:val="21"/>
        </w:rPr>
        <w:t>小时内未发出书面确认函的， 该临时书面指示应被视为监理人的正式指示。</w:t>
      </w:r>
      <w:r>
        <w:rPr>
          <w:color w:val="auto"/>
          <w:sz w:val="21"/>
        </w:rPr>
        <w:t xml:space="preserve"> </w:t>
      </w:r>
    </w:p>
    <w:p>
      <w:pPr>
        <w:pStyle w:val="44"/>
        <w:numPr>
          <w:ilvl w:val="2"/>
          <w:numId w:val="22"/>
        </w:numPr>
        <w:tabs>
          <w:tab w:val="left" w:pos="1159"/>
        </w:tabs>
        <w:ind w:left="1158" w:hanging="526"/>
        <w:rPr>
          <w:color w:val="auto"/>
          <w:sz w:val="21"/>
        </w:rPr>
      </w:pPr>
      <w:r>
        <w:rPr>
          <w:color w:val="auto"/>
          <w:spacing w:val="-5"/>
          <w:sz w:val="21"/>
        </w:rPr>
        <w:t xml:space="preserve">除合同另有约定外，承包人只从总监理工程师或按第 </w:t>
      </w:r>
      <w:r>
        <w:rPr>
          <w:rFonts w:ascii="Times New Roman" w:eastAsia="Times New Roman"/>
          <w:color w:val="auto"/>
          <w:sz w:val="21"/>
        </w:rPr>
        <w:t>3.3.1</w:t>
      </w:r>
      <w:r>
        <w:rPr>
          <w:rFonts w:ascii="Times New Roman" w:eastAsia="Times New Roman"/>
          <w:color w:val="auto"/>
          <w:spacing w:val="3"/>
          <w:sz w:val="21"/>
        </w:rPr>
        <w:t xml:space="preserve"> </w:t>
      </w:r>
      <w:r>
        <w:rPr>
          <w:color w:val="auto"/>
          <w:spacing w:val="-3"/>
          <w:sz w:val="21"/>
        </w:rPr>
        <w:t>项被授权的监理人员处取得指示。</w:t>
      </w:r>
      <w:r>
        <w:rPr>
          <w:color w:val="auto"/>
          <w:sz w:val="21"/>
        </w:rPr>
        <w:t xml:space="preserve"> </w:t>
      </w:r>
    </w:p>
    <w:p>
      <w:pPr>
        <w:pStyle w:val="8"/>
        <w:spacing w:before="7"/>
        <w:rPr>
          <w:color w:val="auto"/>
          <w:sz w:val="15"/>
        </w:rPr>
      </w:pPr>
    </w:p>
    <w:p>
      <w:pPr>
        <w:pStyle w:val="44"/>
        <w:numPr>
          <w:ilvl w:val="2"/>
          <w:numId w:val="22"/>
        </w:numPr>
        <w:tabs>
          <w:tab w:val="left" w:pos="1162"/>
        </w:tabs>
        <w:spacing w:line="417" w:lineRule="auto"/>
        <w:ind w:left="212" w:right="432" w:firstLine="420"/>
        <w:rPr>
          <w:color w:val="auto"/>
          <w:sz w:val="21"/>
        </w:rPr>
      </w:pPr>
      <w:r>
        <w:rPr>
          <w:color w:val="auto"/>
          <w:sz w:val="21"/>
        </w:rPr>
        <w:t>由于监理人未能按合同约定发出指示、指示延误或指示错误而导致承包人费用增加和（或）</w:t>
      </w:r>
      <w:r>
        <w:rPr>
          <w:color w:val="auto"/>
          <w:spacing w:val="-15"/>
          <w:sz w:val="21"/>
        </w:rPr>
        <w:t>工</w:t>
      </w:r>
      <w:r>
        <w:rPr>
          <w:color w:val="auto"/>
          <w:spacing w:val="-3"/>
          <w:sz w:val="21"/>
        </w:rPr>
        <w:t>期延误的，发包人应承担由此增加的费用和（</w:t>
      </w:r>
      <w:r>
        <w:rPr>
          <w:color w:val="auto"/>
          <w:sz w:val="21"/>
        </w:rPr>
        <w:t>或</w:t>
      </w:r>
      <w:r>
        <w:rPr>
          <w:color w:val="auto"/>
          <w:spacing w:val="-3"/>
          <w:sz w:val="21"/>
        </w:rPr>
        <w:t xml:space="preserve">）工期延误，并向承包人支付合理利润。 </w:t>
      </w:r>
    </w:p>
    <w:p>
      <w:pPr>
        <w:pStyle w:val="41"/>
        <w:numPr>
          <w:ilvl w:val="1"/>
          <w:numId w:val="22"/>
        </w:numPr>
        <w:tabs>
          <w:tab w:val="left" w:pos="634"/>
        </w:tabs>
        <w:spacing w:line="287" w:lineRule="exact"/>
        <w:ind w:left="633" w:hanging="422"/>
        <w:rPr>
          <w:rFonts w:ascii="Times New Roman" w:eastAsia="Times New Roman"/>
          <w:color w:val="auto"/>
        </w:rPr>
      </w:pPr>
      <w:bookmarkStart w:id="119" w:name="3.5_商定或确定"/>
      <w:bookmarkEnd w:id="119"/>
      <w:r>
        <w:rPr>
          <w:color w:val="auto"/>
        </w:rPr>
        <w:t>商定或确定</w:t>
      </w:r>
    </w:p>
    <w:p>
      <w:pPr>
        <w:pStyle w:val="44"/>
        <w:numPr>
          <w:ilvl w:val="2"/>
          <w:numId w:val="22"/>
        </w:numPr>
        <w:tabs>
          <w:tab w:val="left" w:pos="1162"/>
        </w:tabs>
        <w:spacing w:before="181" w:line="417" w:lineRule="auto"/>
        <w:ind w:left="212" w:right="430" w:firstLine="420"/>
        <w:jc w:val="both"/>
        <w:rPr>
          <w:color w:val="auto"/>
          <w:sz w:val="21"/>
        </w:rPr>
      </w:pPr>
      <w:r>
        <w:rPr>
          <w:color w:val="auto"/>
          <w:spacing w:val="-1"/>
          <w:sz w:val="21"/>
        </w:rPr>
        <w:t>合同约定总监理工程师应按照本款对任何事项进行商定或确定时，总监理工程师应与合同当事</w:t>
      </w:r>
      <w:r>
        <w:rPr>
          <w:color w:val="auto"/>
          <w:spacing w:val="-3"/>
          <w:sz w:val="21"/>
        </w:rPr>
        <w:t>人协商，尽量达成一致。不能达成一致的，总监理工程师应认真研究后审慎确定。</w:t>
      </w:r>
      <w:r>
        <w:rPr>
          <w:color w:val="auto"/>
          <w:sz w:val="21"/>
        </w:rPr>
        <w:t xml:space="preserve"> </w:t>
      </w:r>
    </w:p>
    <w:p>
      <w:pPr>
        <w:pStyle w:val="44"/>
        <w:numPr>
          <w:ilvl w:val="2"/>
          <w:numId w:val="22"/>
        </w:numPr>
        <w:tabs>
          <w:tab w:val="left" w:pos="1162"/>
        </w:tabs>
        <w:spacing w:line="417" w:lineRule="auto"/>
        <w:ind w:left="212" w:right="426" w:firstLine="420"/>
        <w:jc w:val="both"/>
        <w:rPr>
          <w:color w:val="auto"/>
          <w:sz w:val="21"/>
        </w:rPr>
      </w:pPr>
      <w:r>
        <w:rPr>
          <w:color w:val="auto"/>
          <w:sz w:val="21"/>
        </w:rPr>
        <w:t>总监理工程师应将商定或确定的事项通知合同当事人，并附详细依据。对总监理工程师的确定</w:t>
      </w:r>
      <w:r>
        <w:rPr>
          <w:color w:val="auto"/>
          <w:spacing w:val="-3"/>
          <w:sz w:val="21"/>
        </w:rPr>
        <w:t xml:space="preserve">有异议的，构成争议，按照第 </w:t>
      </w:r>
      <w:r>
        <w:rPr>
          <w:color w:val="auto"/>
          <w:sz w:val="21"/>
        </w:rPr>
        <w:t>24</w:t>
      </w:r>
      <w:r>
        <w:rPr>
          <w:color w:val="auto"/>
          <w:spacing w:val="-3"/>
          <w:sz w:val="21"/>
        </w:rPr>
        <w:t xml:space="preserve"> 条的约定处理。在争议解决前，双方应暂按总监理工程师的确定执行， </w:t>
      </w:r>
      <w:r>
        <w:rPr>
          <w:color w:val="auto"/>
          <w:spacing w:val="-2"/>
          <w:sz w:val="21"/>
        </w:rPr>
        <w:t xml:space="preserve">按照第 </w:t>
      </w:r>
      <w:r>
        <w:rPr>
          <w:color w:val="auto"/>
          <w:sz w:val="21"/>
        </w:rPr>
        <w:t>24</w:t>
      </w:r>
      <w:r>
        <w:rPr>
          <w:color w:val="auto"/>
          <w:spacing w:val="-3"/>
          <w:sz w:val="21"/>
        </w:rPr>
        <w:t xml:space="preserve"> 条的约定对总监理工程师的确定作出修改的，按修改后的结果执行，由此导致承包人增加的费用和（</w:t>
      </w:r>
      <w:r>
        <w:rPr>
          <w:color w:val="auto"/>
          <w:sz w:val="21"/>
        </w:rPr>
        <w:t>或</w:t>
      </w:r>
      <w:r>
        <w:rPr>
          <w:color w:val="auto"/>
          <w:spacing w:val="-3"/>
          <w:sz w:val="21"/>
        </w:rPr>
        <w:t xml:space="preserve">）延误的工期由发包人承担。 </w:t>
      </w:r>
    </w:p>
    <w:p>
      <w:pPr>
        <w:pStyle w:val="8"/>
        <w:spacing w:before="9"/>
        <w:rPr>
          <w:color w:val="auto"/>
          <w:sz w:val="20"/>
        </w:rPr>
      </w:pPr>
    </w:p>
    <w:p>
      <w:pPr>
        <w:pStyle w:val="37"/>
        <w:numPr>
          <w:ilvl w:val="0"/>
          <w:numId w:val="22"/>
        </w:numPr>
        <w:tabs>
          <w:tab w:val="left" w:pos="639"/>
        </w:tabs>
        <w:spacing w:before="1"/>
        <w:ind w:left="638" w:hanging="427"/>
        <w:rPr>
          <w:rFonts w:ascii="Cambria" w:eastAsia="Cambria"/>
          <w:color w:val="auto"/>
        </w:rPr>
      </w:pPr>
      <w:bookmarkStart w:id="120" w:name="4._承包人"/>
      <w:bookmarkEnd w:id="120"/>
      <w:r>
        <w:rPr>
          <w:color w:val="auto"/>
        </w:rPr>
        <w:t>承包人</w:t>
      </w:r>
    </w:p>
    <w:p>
      <w:pPr>
        <w:pStyle w:val="8"/>
        <w:spacing w:before="9"/>
        <w:rPr>
          <w:b/>
          <w:color w:val="auto"/>
          <w:sz w:val="34"/>
        </w:rPr>
      </w:pPr>
    </w:p>
    <w:p>
      <w:pPr>
        <w:pStyle w:val="41"/>
        <w:numPr>
          <w:ilvl w:val="1"/>
          <w:numId w:val="22"/>
        </w:numPr>
        <w:tabs>
          <w:tab w:val="left" w:pos="634"/>
        </w:tabs>
        <w:ind w:left="633" w:hanging="422"/>
        <w:rPr>
          <w:rFonts w:ascii="Times New Roman" w:eastAsia="Times New Roman"/>
          <w:color w:val="auto"/>
        </w:rPr>
      </w:pPr>
      <w:r>
        <w:rPr>
          <w:color w:val="auto"/>
        </w:rPr>
        <w:t>承包人的一般义务</w:t>
      </w:r>
    </w:p>
    <w:p>
      <w:pPr>
        <w:pStyle w:val="44"/>
        <w:numPr>
          <w:ilvl w:val="2"/>
          <w:numId w:val="22"/>
        </w:numPr>
        <w:tabs>
          <w:tab w:val="left" w:pos="1159"/>
        </w:tabs>
        <w:spacing w:before="181"/>
        <w:ind w:left="1158" w:hanging="526"/>
        <w:rPr>
          <w:color w:val="auto"/>
          <w:sz w:val="21"/>
        </w:rPr>
      </w:pPr>
      <w:r>
        <w:rPr>
          <w:color w:val="auto"/>
          <w:spacing w:val="-3"/>
          <w:sz w:val="21"/>
        </w:rPr>
        <w:t>遵守法律</w:t>
      </w:r>
      <w:r>
        <w:rPr>
          <w:color w:val="auto"/>
          <w:sz w:val="21"/>
        </w:rPr>
        <w:t xml:space="preserve"> </w:t>
      </w:r>
    </w:p>
    <w:p>
      <w:pPr>
        <w:pStyle w:val="8"/>
        <w:spacing w:before="7"/>
        <w:rPr>
          <w:color w:val="auto"/>
          <w:sz w:val="15"/>
        </w:rPr>
      </w:pPr>
    </w:p>
    <w:p>
      <w:pPr>
        <w:pStyle w:val="8"/>
        <w:ind w:left="633"/>
        <w:rPr>
          <w:color w:val="auto"/>
        </w:rPr>
      </w:pPr>
      <w:r>
        <w:rPr>
          <w:color w:val="auto"/>
        </w:rPr>
        <w:t xml:space="preserve">承包人在履行合同过程中应遵守法律，并保证发包人免于承担因承包人违反法律而引起的任何责任。 </w:t>
      </w:r>
    </w:p>
    <w:p>
      <w:pPr>
        <w:pStyle w:val="8"/>
        <w:spacing w:before="7"/>
        <w:rPr>
          <w:color w:val="auto"/>
          <w:sz w:val="15"/>
        </w:rPr>
      </w:pPr>
    </w:p>
    <w:p>
      <w:pPr>
        <w:pStyle w:val="44"/>
        <w:numPr>
          <w:ilvl w:val="2"/>
          <w:numId w:val="22"/>
        </w:numPr>
        <w:tabs>
          <w:tab w:val="left" w:pos="1159"/>
        </w:tabs>
        <w:ind w:left="1158" w:hanging="526"/>
        <w:rPr>
          <w:color w:val="auto"/>
          <w:sz w:val="21"/>
        </w:rPr>
      </w:pPr>
      <w:r>
        <w:rPr>
          <w:color w:val="auto"/>
          <w:spacing w:val="-3"/>
          <w:sz w:val="21"/>
        </w:rPr>
        <w:t>依法纳税</w:t>
      </w:r>
      <w:r>
        <w:rPr>
          <w:color w:val="auto"/>
          <w:sz w:val="21"/>
        </w:rPr>
        <w:t xml:space="preserve"> </w:t>
      </w:r>
    </w:p>
    <w:p>
      <w:pPr>
        <w:pStyle w:val="8"/>
        <w:spacing w:before="7"/>
        <w:rPr>
          <w:color w:val="auto"/>
          <w:sz w:val="15"/>
        </w:rPr>
      </w:pPr>
    </w:p>
    <w:p>
      <w:pPr>
        <w:pStyle w:val="8"/>
        <w:ind w:left="633"/>
        <w:rPr>
          <w:color w:val="auto"/>
        </w:rPr>
      </w:pPr>
      <w:r>
        <w:rPr>
          <w:color w:val="auto"/>
        </w:rPr>
        <w:t xml:space="preserve">承包人应按有关法律规定纳税，应缴纳的税金包括在合同价格内。 </w:t>
      </w:r>
    </w:p>
    <w:p>
      <w:pPr>
        <w:pStyle w:val="8"/>
        <w:spacing w:before="7"/>
        <w:rPr>
          <w:color w:val="auto"/>
          <w:sz w:val="15"/>
        </w:rPr>
      </w:pPr>
    </w:p>
    <w:p>
      <w:pPr>
        <w:pStyle w:val="44"/>
        <w:numPr>
          <w:ilvl w:val="2"/>
          <w:numId w:val="22"/>
        </w:numPr>
        <w:tabs>
          <w:tab w:val="left" w:pos="1159"/>
        </w:tabs>
        <w:ind w:left="1158" w:hanging="526"/>
        <w:rPr>
          <w:color w:val="auto"/>
          <w:sz w:val="21"/>
        </w:rPr>
      </w:pPr>
      <w:r>
        <w:rPr>
          <w:color w:val="auto"/>
          <w:spacing w:val="-3"/>
          <w:sz w:val="21"/>
        </w:rPr>
        <w:t>完成各项承包工作</w:t>
      </w:r>
      <w:r>
        <w:rPr>
          <w:color w:val="auto"/>
          <w:sz w:val="21"/>
        </w:rPr>
        <w:t xml:space="preserve"> </w:t>
      </w:r>
    </w:p>
    <w:p>
      <w:pPr>
        <w:pStyle w:val="8"/>
        <w:spacing w:before="6"/>
        <w:rPr>
          <w:color w:val="auto"/>
          <w:sz w:val="15"/>
        </w:rPr>
      </w:pPr>
    </w:p>
    <w:p>
      <w:pPr>
        <w:pStyle w:val="8"/>
        <w:spacing w:line="417" w:lineRule="auto"/>
        <w:ind w:left="212" w:right="426" w:firstLine="420"/>
        <w:rPr>
          <w:color w:val="auto"/>
        </w:rPr>
      </w:pPr>
      <w:r>
        <w:rPr>
          <w:color w:val="auto"/>
          <w:spacing w:val="-5"/>
        </w:rPr>
        <w:t xml:space="preserve">承包人应按合同约定以及监理人根据第 </w:t>
      </w:r>
      <w:r>
        <w:rPr>
          <w:color w:val="auto"/>
        </w:rPr>
        <w:t>3.4</w:t>
      </w:r>
      <w:r>
        <w:rPr>
          <w:color w:val="auto"/>
          <w:spacing w:val="-9"/>
        </w:rPr>
        <w:t xml:space="preserve"> 款作出的指示，完成合同约定的全部工作，并对工作中的</w:t>
      </w:r>
      <w:r>
        <w:rPr>
          <w:color w:val="auto"/>
          <w:spacing w:val="-6"/>
        </w:rPr>
        <w:t>任何缺陷进行整改、完善和修补，使其满足合同约定的目的。除专用合同条款另有约定外，承包人应提供</w:t>
      </w:r>
    </w:p>
    <w:p>
      <w:pPr>
        <w:spacing w:line="417" w:lineRule="auto"/>
        <w:rPr>
          <w:color w:val="auto"/>
        </w:rPr>
        <w:sectPr>
          <w:pgSz w:w="11910" w:h="16840"/>
          <w:pgMar w:top="1540" w:right="700" w:bottom="1180" w:left="920" w:header="0" w:footer="995" w:gutter="0"/>
          <w:cols w:space="720" w:num="1"/>
        </w:sectPr>
      </w:pPr>
    </w:p>
    <w:p>
      <w:pPr>
        <w:pStyle w:val="8"/>
        <w:spacing w:before="45" w:line="417" w:lineRule="auto"/>
        <w:ind w:left="212" w:right="429"/>
        <w:rPr>
          <w:color w:val="auto"/>
        </w:rPr>
      </w:pPr>
      <w:r>
        <w:rPr>
          <w:color w:val="auto"/>
          <w:spacing w:val="-6"/>
        </w:rPr>
        <w:t>合同约定的工程设备和承包人文件，以及为完成合同工作所需的劳务、材料、施工设备和其他物品，并按</w:t>
      </w:r>
      <w:r>
        <w:rPr>
          <w:color w:val="auto"/>
          <w:spacing w:val="-4"/>
        </w:rPr>
        <w:t>合同约定负责临时设施的设计、施工、运行、维护、管理和拆除。</w:t>
      </w:r>
      <w:r>
        <w:rPr>
          <w:color w:val="auto"/>
        </w:rPr>
        <w:t xml:space="preserve"> </w:t>
      </w:r>
    </w:p>
    <w:p>
      <w:pPr>
        <w:pStyle w:val="44"/>
        <w:numPr>
          <w:ilvl w:val="2"/>
          <w:numId w:val="22"/>
        </w:numPr>
        <w:tabs>
          <w:tab w:val="left" w:pos="1057"/>
        </w:tabs>
        <w:spacing w:line="269" w:lineRule="exact"/>
        <w:ind w:left="1056" w:hanging="424"/>
        <w:rPr>
          <w:color w:val="auto"/>
          <w:sz w:val="21"/>
        </w:rPr>
      </w:pPr>
      <w:r>
        <w:rPr>
          <w:color w:val="auto"/>
          <w:spacing w:val="-3"/>
          <w:sz w:val="21"/>
        </w:rPr>
        <w:t>对设计、施工作业和施工方法，以及工程的完备性负责</w:t>
      </w:r>
      <w:r>
        <w:rPr>
          <w:color w:val="auto"/>
          <w:sz w:val="21"/>
        </w:rPr>
        <w:t xml:space="preserve"> </w:t>
      </w:r>
    </w:p>
    <w:p>
      <w:pPr>
        <w:pStyle w:val="8"/>
        <w:spacing w:before="7"/>
        <w:rPr>
          <w:color w:val="auto"/>
          <w:sz w:val="15"/>
        </w:rPr>
      </w:pPr>
    </w:p>
    <w:p>
      <w:pPr>
        <w:pStyle w:val="8"/>
        <w:spacing w:line="417" w:lineRule="auto"/>
        <w:ind w:left="212" w:right="428" w:firstLine="420"/>
        <w:rPr>
          <w:color w:val="auto"/>
        </w:rPr>
      </w:pPr>
      <w:r>
        <w:rPr>
          <w:color w:val="auto"/>
          <w:spacing w:val="-5"/>
        </w:rPr>
        <w:t>承包人应按合同约定的工作内容和进度要求，编制设计、施工的组织和实施计划，并对所有设计、施</w:t>
      </w:r>
      <w:r>
        <w:rPr>
          <w:color w:val="auto"/>
          <w:spacing w:val="-4"/>
        </w:rPr>
        <w:t xml:space="preserve">工作业和施工方法，以及全部工程的完备性和安全可靠性负责。 </w:t>
      </w:r>
    </w:p>
    <w:p>
      <w:pPr>
        <w:pStyle w:val="44"/>
        <w:numPr>
          <w:ilvl w:val="2"/>
          <w:numId w:val="22"/>
        </w:numPr>
        <w:tabs>
          <w:tab w:val="left" w:pos="1057"/>
        </w:tabs>
        <w:spacing w:line="269" w:lineRule="exact"/>
        <w:ind w:left="1056" w:hanging="424"/>
        <w:rPr>
          <w:color w:val="auto"/>
          <w:sz w:val="21"/>
        </w:rPr>
      </w:pPr>
      <w:r>
        <w:rPr>
          <w:color w:val="auto"/>
          <w:spacing w:val="-3"/>
          <w:sz w:val="21"/>
        </w:rPr>
        <w:t>保证工程施工和人员的安全</w:t>
      </w:r>
      <w:r>
        <w:rPr>
          <w:color w:val="auto"/>
          <w:sz w:val="21"/>
        </w:rPr>
        <w:t xml:space="preserve"> </w:t>
      </w:r>
    </w:p>
    <w:p>
      <w:pPr>
        <w:pStyle w:val="8"/>
        <w:spacing w:before="7"/>
        <w:rPr>
          <w:color w:val="auto"/>
          <w:sz w:val="15"/>
        </w:rPr>
      </w:pPr>
    </w:p>
    <w:p>
      <w:pPr>
        <w:pStyle w:val="8"/>
        <w:spacing w:line="417" w:lineRule="auto"/>
        <w:ind w:left="212" w:right="427" w:firstLine="420"/>
        <w:rPr>
          <w:color w:val="auto"/>
        </w:rPr>
      </w:pPr>
      <w:r>
        <w:rPr>
          <w:color w:val="auto"/>
        </w:rPr>
        <w:t xml:space="preserve">承包人应按第 </w:t>
      </w:r>
      <w:r>
        <w:rPr>
          <w:rFonts w:ascii="Times New Roman" w:eastAsia="Times New Roman"/>
          <w:color w:val="auto"/>
        </w:rPr>
        <w:t xml:space="preserve">10.2 </w:t>
      </w:r>
      <w:r>
        <w:rPr>
          <w:color w:val="auto"/>
        </w:rPr>
        <w:t xml:space="preserve">款约定采取施工安全措施，确保工程及其人员、材料、设备和设施的安全，防止因工程施工造成的人身伤害和财产损失。 </w:t>
      </w:r>
    </w:p>
    <w:p>
      <w:pPr>
        <w:pStyle w:val="44"/>
        <w:numPr>
          <w:ilvl w:val="2"/>
          <w:numId w:val="22"/>
        </w:numPr>
        <w:tabs>
          <w:tab w:val="left" w:pos="1159"/>
        </w:tabs>
        <w:ind w:left="1158" w:hanging="526"/>
        <w:rPr>
          <w:color w:val="auto"/>
          <w:sz w:val="21"/>
        </w:rPr>
      </w:pPr>
      <w:r>
        <w:rPr>
          <w:color w:val="auto"/>
          <w:spacing w:val="-3"/>
          <w:sz w:val="21"/>
        </w:rPr>
        <w:t>负责施工场地及其周边环境与生态的保护工作</w:t>
      </w:r>
      <w:r>
        <w:rPr>
          <w:color w:val="auto"/>
          <w:sz w:val="21"/>
        </w:rPr>
        <w:t xml:space="preserve"> </w:t>
      </w:r>
    </w:p>
    <w:p>
      <w:pPr>
        <w:pStyle w:val="8"/>
        <w:spacing w:before="7"/>
        <w:rPr>
          <w:color w:val="auto"/>
          <w:sz w:val="15"/>
        </w:rPr>
      </w:pPr>
    </w:p>
    <w:p>
      <w:pPr>
        <w:pStyle w:val="8"/>
        <w:ind w:left="633"/>
        <w:rPr>
          <w:color w:val="auto"/>
        </w:rPr>
      </w:pPr>
      <w:r>
        <w:rPr>
          <w:color w:val="auto"/>
        </w:rPr>
        <w:t xml:space="preserve">承包人应按照第 </w:t>
      </w:r>
      <w:r>
        <w:rPr>
          <w:rFonts w:ascii="Times New Roman" w:eastAsia="Times New Roman"/>
          <w:color w:val="auto"/>
        </w:rPr>
        <w:t xml:space="preserve">10.4  </w:t>
      </w:r>
      <w:r>
        <w:rPr>
          <w:color w:val="auto"/>
        </w:rPr>
        <w:t xml:space="preserve">款约定负责施工场地及其周边环境与生态的保护工作。 </w:t>
      </w:r>
    </w:p>
    <w:p>
      <w:pPr>
        <w:pStyle w:val="8"/>
        <w:spacing w:before="6"/>
        <w:rPr>
          <w:color w:val="auto"/>
          <w:sz w:val="15"/>
        </w:rPr>
      </w:pPr>
    </w:p>
    <w:p>
      <w:pPr>
        <w:pStyle w:val="44"/>
        <w:numPr>
          <w:ilvl w:val="2"/>
          <w:numId w:val="22"/>
        </w:numPr>
        <w:tabs>
          <w:tab w:val="left" w:pos="1159"/>
        </w:tabs>
        <w:spacing w:before="1"/>
        <w:ind w:left="1158" w:hanging="526"/>
        <w:jc w:val="both"/>
        <w:rPr>
          <w:color w:val="auto"/>
          <w:sz w:val="21"/>
        </w:rPr>
      </w:pPr>
      <w:r>
        <w:rPr>
          <w:color w:val="auto"/>
          <w:spacing w:val="-3"/>
          <w:sz w:val="21"/>
        </w:rPr>
        <w:t>避免施工对公众与他人的利益造成损害</w:t>
      </w:r>
      <w:r>
        <w:rPr>
          <w:color w:val="auto"/>
          <w:sz w:val="21"/>
        </w:rPr>
        <w:t xml:space="preserve"> </w:t>
      </w:r>
    </w:p>
    <w:p>
      <w:pPr>
        <w:pStyle w:val="8"/>
        <w:spacing w:before="6"/>
        <w:rPr>
          <w:color w:val="auto"/>
          <w:sz w:val="15"/>
        </w:rPr>
      </w:pPr>
    </w:p>
    <w:p>
      <w:pPr>
        <w:pStyle w:val="8"/>
        <w:spacing w:line="417" w:lineRule="auto"/>
        <w:ind w:left="212" w:right="426" w:firstLine="420"/>
        <w:jc w:val="both"/>
        <w:rPr>
          <w:color w:val="auto"/>
        </w:rPr>
      </w:pPr>
      <w:r>
        <w:rPr>
          <w:color w:val="auto"/>
          <w:spacing w:val="-6"/>
        </w:rPr>
        <w:t>承包人在进行合同约定的各项工作时，不得侵害发包人与他人使用公用道路、水源、市政管网等公共</w:t>
      </w:r>
      <w:r>
        <w:rPr>
          <w:color w:val="auto"/>
          <w:spacing w:val="-7"/>
        </w:rPr>
        <w:t>设施的权利，避免对邻近的公共设施产生干扰。承包人占用或使用他人的施工场地，影响他人作业或生活</w:t>
      </w:r>
      <w:r>
        <w:rPr>
          <w:color w:val="auto"/>
          <w:spacing w:val="-5"/>
        </w:rPr>
        <w:t>的，应承担相应责任。</w:t>
      </w:r>
      <w:r>
        <w:rPr>
          <w:color w:val="auto"/>
        </w:rPr>
        <w:t xml:space="preserve"> </w:t>
      </w:r>
    </w:p>
    <w:p>
      <w:pPr>
        <w:pStyle w:val="44"/>
        <w:numPr>
          <w:ilvl w:val="2"/>
          <w:numId w:val="22"/>
        </w:numPr>
        <w:tabs>
          <w:tab w:val="left" w:pos="1159"/>
        </w:tabs>
        <w:spacing w:line="269" w:lineRule="exact"/>
        <w:ind w:left="1158" w:hanging="526"/>
        <w:jc w:val="both"/>
        <w:rPr>
          <w:color w:val="auto"/>
          <w:sz w:val="21"/>
        </w:rPr>
      </w:pPr>
      <w:r>
        <w:rPr>
          <w:color w:val="auto"/>
          <w:spacing w:val="-3"/>
          <w:sz w:val="21"/>
        </w:rPr>
        <w:t>为他人提供方便</w:t>
      </w:r>
      <w:r>
        <w:rPr>
          <w:color w:val="auto"/>
          <w:sz w:val="21"/>
        </w:rPr>
        <w:t xml:space="preserve"> </w:t>
      </w:r>
    </w:p>
    <w:p>
      <w:pPr>
        <w:pStyle w:val="8"/>
        <w:spacing w:before="7"/>
        <w:rPr>
          <w:color w:val="auto"/>
          <w:sz w:val="15"/>
        </w:rPr>
      </w:pPr>
    </w:p>
    <w:p>
      <w:pPr>
        <w:pStyle w:val="8"/>
        <w:spacing w:line="417" w:lineRule="auto"/>
        <w:ind w:left="212" w:right="404" w:firstLine="420"/>
        <w:jc w:val="both"/>
        <w:rPr>
          <w:color w:val="auto"/>
        </w:rPr>
      </w:pPr>
      <w:r>
        <w:rPr>
          <w:color w:val="auto"/>
        </w:rPr>
        <w:t xml:space="preserve">承包人应按监理人的指示为他人在施工场地或附近实施与工程有关的其他各项工作提供可能的条件。除合同另有约定外，提供有关条件的内容和可能发生的费用，由监理人按第 3.5 款商定或确定。 </w:t>
      </w:r>
    </w:p>
    <w:p>
      <w:pPr>
        <w:pStyle w:val="44"/>
        <w:numPr>
          <w:ilvl w:val="2"/>
          <w:numId w:val="22"/>
        </w:numPr>
        <w:tabs>
          <w:tab w:val="left" w:pos="1159"/>
        </w:tabs>
        <w:ind w:left="1158" w:hanging="526"/>
        <w:jc w:val="both"/>
        <w:rPr>
          <w:color w:val="auto"/>
          <w:sz w:val="21"/>
        </w:rPr>
      </w:pPr>
      <w:r>
        <w:rPr>
          <w:color w:val="auto"/>
          <w:spacing w:val="-3"/>
          <w:sz w:val="21"/>
        </w:rPr>
        <w:t>工程的维护和照管</w:t>
      </w:r>
      <w:r>
        <w:rPr>
          <w:color w:val="auto"/>
          <w:sz w:val="21"/>
        </w:rPr>
        <w:t xml:space="preserve"> </w:t>
      </w:r>
    </w:p>
    <w:p>
      <w:pPr>
        <w:pStyle w:val="8"/>
        <w:spacing w:before="7"/>
        <w:rPr>
          <w:color w:val="auto"/>
          <w:sz w:val="15"/>
        </w:rPr>
      </w:pPr>
    </w:p>
    <w:p>
      <w:pPr>
        <w:pStyle w:val="8"/>
        <w:spacing w:line="417" w:lineRule="auto"/>
        <w:ind w:left="212" w:right="405" w:firstLine="420"/>
        <w:rPr>
          <w:color w:val="auto"/>
        </w:rPr>
      </w:pPr>
      <w:r>
        <w:rPr>
          <w:color w:val="auto"/>
        </w:rPr>
        <w:t xml:space="preserve">工程接收证书颁发前，承包人应负责照管和维护工程。工程接收证书颁发时尚有部分未竣工工程的， 承包人还应负责该未竣工工程的照管和维护工作，直至竣工后移交给发包人。 </w:t>
      </w:r>
    </w:p>
    <w:p>
      <w:pPr>
        <w:pStyle w:val="44"/>
        <w:numPr>
          <w:ilvl w:val="2"/>
          <w:numId w:val="22"/>
        </w:numPr>
        <w:tabs>
          <w:tab w:val="left" w:pos="1265"/>
        </w:tabs>
        <w:spacing w:line="269" w:lineRule="exact"/>
        <w:ind w:left="1264" w:hanging="632"/>
        <w:jc w:val="both"/>
        <w:rPr>
          <w:color w:val="auto"/>
          <w:sz w:val="21"/>
        </w:rPr>
      </w:pPr>
      <w:r>
        <w:rPr>
          <w:color w:val="auto"/>
          <w:spacing w:val="-3"/>
          <w:sz w:val="21"/>
        </w:rPr>
        <w:t>其他义务</w:t>
      </w:r>
      <w:r>
        <w:rPr>
          <w:color w:val="auto"/>
          <w:sz w:val="21"/>
        </w:rPr>
        <w:t xml:space="preserve"> </w:t>
      </w:r>
    </w:p>
    <w:p>
      <w:pPr>
        <w:pStyle w:val="8"/>
        <w:spacing w:before="6"/>
        <w:rPr>
          <w:color w:val="auto"/>
          <w:sz w:val="15"/>
        </w:rPr>
      </w:pPr>
    </w:p>
    <w:p>
      <w:pPr>
        <w:pStyle w:val="8"/>
        <w:spacing w:before="1"/>
        <w:ind w:left="633"/>
        <w:rPr>
          <w:color w:val="auto"/>
        </w:rPr>
      </w:pPr>
      <w:r>
        <w:rPr>
          <w:color w:val="auto"/>
        </w:rPr>
        <w:t xml:space="preserve">承包人应履行合同约定的其他义务。 </w:t>
      </w:r>
    </w:p>
    <w:p>
      <w:pPr>
        <w:pStyle w:val="41"/>
        <w:numPr>
          <w:ilvl w:val="1"/>
          <w:numId w:val="22"/>
        </w:numPr>
        <w:tabs>
          <w:tab w:val="left" w:pos="634"/>
        </w:tabs>
        <w:spacing w:before="178"/>
        <w:ind w:left="633" w:hanging="422"/>
        <w:jc w:val="both"/>
        <w:rPr>
          <w:rFonts w:ascii="Times New Roman" w:eastAsia="Times New Roman"/>
          <w:color w:val="auto"/>
        </w:rPr>
      </w:pPr>
      <w:bookmarkStart w:id="121" w:name="4.2_履约担保"/>
      <w:bookmarkEnd w:id="121"/>
      <w:r>
        <w:rPr>
          <w:color w:val="auto"/>
        </w:rPr>
        <w:t>履约担保</w:t>
      </w:r>
    </w:p>
    <w:p>
      <w:pPr>
        <w:pStyle w:val="44"/>
        <w:numPr>
          <w:ilvl w:val="2"/>
          <w:numId w:val="22"/>
        </w:numPr>
        <w:tabs>
          <w:tab w:val="left" w:pos="1162"/>
        </w:tabs>
        <w:spacing w:before="182" w:line="417" w:lineRule="auto"/>
        <w:ind w:left="212" w:right="426" w:firstLine="420"/>
        <w:jc w:val="both"/>
        <w:rPr>
          <w:color w:val="auto"/>
          <w:sz w:val="21"/>
        </w:rPr>
      </w:pPr>
      <w:r>
        <w:rPr>
          <w:color w:val="auto"/>
          <w:sz w:val="21"/>
        </w:rPr>
        <w:t>承包人应保证其履约担保在发包人颁发工程接收证书前一直有效。发包人应在工程接收证书颁</w:t>
      </w:r>
      <w:r>
        <w:rPr>
          <w:color w:val="auto"/>
          <w:spacing w:val="-1"/>
          <w:sz w:val="21"/>
        </w:rPr>
        <w:t xml:space="preserve">发后 </w:t>
      </w:r>
      <w:r>
        <w:rPr>
          <w:color w:val="auto"/>
          <w:sz w:val="21"/>
        </w:rPr>
        <w:t>28</w:t>
      </w:r>
      <w:r>
        <w:rPr>
          <w:color w:val="auto"/>
          <w:spacing w:val="-3"/>
          <w:sz w:val="21"/>
        </w:rPr>
        <w:t xml:space="preserve"> 天内将履约担保退还给承包人。需进行竣工后试验的，承包人应保证其履约担保在竣工后试验通</w:t>
      </w:r>
      <w:r>
        <w:rPr>
          <w:color w:val="auto"/>
          <w:spacing w:val="-6"/>
          <w:sz w:val="21"/>
        </w:rPr>
        <w:t xml:space="preserve">过前一直有效，发包人应在通过竣工验收后 </w:t>
      </w:r>
      <w:r>
        <w:rPr>
          <w:color w:val="auto"/>
          <w:sz w:val="21"/>
        </w:rPr>
        <w:t>7</w:t>
      </w:r>
      <w:r>
        <w:rPr>
          <w:color w:val="auto"/>
          <w:spacing w:val="-9"/>
          <w:sz w:val="21"/>
        </w:rPr>
        <w:t xml:space="preserve"> 天内将履约担保退还给承包人。 </w:t>
      </w:r>
    </w:p>
    <w:p>
      <w:pPr>
        <w:pStyle w:val="44"/>
        <w:numPr>
          <w:ilvl w:val="2"/>
          <w:numId w:val="22"/>
        </w:numPr>
        <w:tabs>
          <w:tab w:val="left" w:pos="1162"/>
        </w:tabs>
        <w:spacing w:line="417" w:lineRule="auto"/>
        <w:ind w:left="212" w:right="430" w:firstLine="420"/>
        <w:jc w:val="both"/>
        <w:rPr>
          <w:color w:val="auto"/>
          <w:sz w:val="21"/>
        </w:rPr>
      </w:pPr>
      <w:r>
        <w:rPr>
          <w:color w:val="auto"/>
          <w:spacing w:val="-1"/>
          <w:sz w:val="21"/>
        </w:rPr>
        <w:t>如工程延期，承包人有义务继续提供履约担保。由于发包人原因导致延期的，继续提供履约担</w:t>
      </w:r>
      <w:r>
        <w:rPr>
          <w:color w:val="auto"/>
          <w:spacing w:val="-3"/>
          <w:sz w:val="21"/>
        </w:rPr>
        <w:t xml:space="preserve">保所需的费用由发包人承担；由于承包人原因导致延期的，继续提供履约担保所需费用由承包人承担。 </w:t>
      </w:r>
    </w:p>
    <w:p>
      <w:pPr>
        <w:pStyle w:val="41"/>
        <w:numPr>
          <w:ilvl w:val="1"/>
          <w:numId w:val="22"/>
        </w:numPr>
        <w:tabs>
          <w:tab w:val="left" w:pos="634"/>
        </w:tabs>
        <w:spacing w:line="287" w:lineRule="exact"/>
        <w:ind w:left="633" w:hanging="422"/>
        <w:jc w:val="both"/>
        <w:rPr>
          <w:rFonts w:ascii="Times New Roman" w:eastAsia="Times New Roman"/>
          <w:color w:val="auto"/>
        </w:rPr>
      </w:pPr>
      <w:bookmarkStart w:id="122" w:name="4.3_分包和不得转包"/>
      <w:bookmarkEnd w:id="122"/>
      <w:r>
        <w:rPr>
          <w:color w:val="auto"/>
        </w:rPr>
        <w:t>分包和不得转包</w:t>
      </w:r>
    </w:p>
    <w:p>
      <w:pPr>
        <w:spacing w:line="287" w:lineRule="exact"/>
        <w:jc w:val="both"/>
        <w:rPr>
          <w:rFonts w:ascii="Times New Roman" w:eastAsia="Times New Roman"/>
          <w:color w:val="auto"/>
        </w:rPr>
        <w:sectPr>
          <w:pgSz w:w="11910" w:h="16840"/>
          <w:pgMar w:top="1560" w:right="700" w:bottom="1180" w:left="920" w:header="0" w:footer="995" w:gutter="0"/>
          <w:cols w:space="720" w:num="1"/>
        </w:sectPr>
      </w:pPr>
    </w:p>
    <w:p>
      <w:pPr>
        <w:pStyle w:val="44"/>
        <w:numPr>
          <w:ilvl w:val="2"/>
          <w:numId w:val="22"/>
        </w:numPr>
        <w:tabs>
          <w:tab w:val="left" w:pos="1057"/>
        </w:tabs>
        <w:spacing w:before="65" w:line="417" w:lineRule="auto"/>
        <w:ind w:left="212" w:right="432" w:firstLine="420"/>
        <w:rPr>
          <w:color w:val="auto"/>
          <w:sz w:val="21"/>
        </w:rPr>
      </w:pPr>
      <w:r>
        <w:rPr>
          <w:color w:val="auto"/>
          <w:spacing w:val="-1"/>
          <w:sz w:val="21"/>
        </w:rPr>
        <w:t>承包人不得将其承包的全部工程转包给第三人，也不得将其承包的全部工程肢解后以分包的名</w:t>
      </w:r>
      <w:r>
        <w:rPr>
          <w:color w:val="auto"/>
          <w:spacing w:val="-3"/>
          <w:sz w:val="21"/>
        </w:rPr>
        <w:t>义分别转包给第三人。</w:t>
      </w:r>
      <w:r>
        <w:rPr>
          <w:color w:val="auto"/>
          <w:sz w:val="21"/>
        </w:rPr>
        <w:t xml:space="preserve"> </w:t>
      </w:r>
    </w:p>
    <w:p>
      <w:pPr>
        <w:pStyle w:val="44"/>
        <w:numPr>
          <w:ilvl w:val="2"/>
          <w:numId w:val="22"/>
        </w:numPr>
        <w:tabs>
          <w:tab w:val="left" w:pos="1162"/>
        </w:tabs>
        <w:spacing w:line="417" w:lineRule="auto"/>
        <w:ind w:left="212" w:right="432" w:firstLine="420"/>
        <w:rPr>
          <w:color w:val="auto"/>
          <w:sz w:val="21"/>
        </w:rPr>
      </w:pPr>
      <w:r>
        <w:rPr>
          <w:color w:val="auto"/>
          <w:spacing w:val="-1"/>
          <w:sz w:val="21"/>
        </w:rPr>
        <w:t>承包人不得将设计和施工的主体、关键性工作分包给第三人。除专用合同条款另有约定外，未</w:t>
      </w:r>
      <w:r>
        <w:rPr>
          <w:color w:val="auto"/>
          <w:spacing w:val="-3"/>
          <w:sz w:val="21"/>
        </w:rPr>
        <w:t xml:space="preserve">经发包人同意，承包人也不得将非主体、非关键性工作分包给第三人。 </w:t>
      </w:r>
    </w:p>
    <w:p>
      <w:pPr>
        <w:pStyle w:val="44"/>
        <w:numPr>
          <w:ilvl w:val="2"/>
          <w:numId w:val="22"/>
        </w:numPr>
        <w:tabs>
          <w:tab w:val="left" w:pos="1159"/>
        </w:tabs>
        <w:spacing w:line="269" w:lineRule="exact"/>
        <w:ind w:left="1158" w:hanging="526"/>
        <w:rPr>
          <w:color w:val="auto"/>
          <w:sz w:val="21"/>
        </w:rPr>
      </w:pPr>
      <w:r>
        <w:rPr>
          <w:color w:val="auto"/>
          <w:spacing w:val="-3"/>
          <w:sz w:val="21"/>
        </w:rPr>
        <w:t>分包人的资格能力应与其分包工作的标准和规模相适应。</w:t>
      </w:r>
      <w:r>
        <w:rPr>
          <w:color w:val="auto"/>
          <w:sz w:val="21"/>
        </w:rPr>
        <w:t xml:space="preserve"> </w:t>
      </w:r>
    </w:p>
    <w:p>
      <w:pPr>
        <w:pStyle w:val="8"/>
        <w:spacing w:before="7"/>
        <w:rPr>
          <w:color w:val="auto"/>
          <w:sz w:val="15"/>
        </w:rPr>
      </w:pPr>
    </w:p>
    <w:p>
      <w:pPr>
        <w:pStyle w:val="44"/>
        <w:numPr>
          <w:ilvl w:val="2"/>
          <w:numId w:val="22"/>
        </w:numPr>
        <w:tabs>
          <w:tab w:val="left" w:pos="1057"/>
        </w:tabs>
        <w:ind w:left="1056" w:hanging="424"/>
        <w:rPr>
          <w:color w:val="auto"/>
          <w:sz w:val="21"/>
        </w:rPr>
      </w:pPr>
      <w:r>
        <w:rPr>
          <w:color w:val="auto"/>
          <w:spacing w:val="-3"/>
          <w:sz w:val="21"/>
        </w:rPr>
        <w:t>发包人同意承包人分包工作的，承包人应向发包人和监理人提交分包合同副本。</w:t>
      </w:r>
      <w:r>
        <w:rPr>
          <w:color w:val="auto"/>
          <w:sz w:val="21"/>
        </w:rPr>
        <w:t xml:space="preserve"> </w:t>
      </w:r>
    </w:p>
    <w:p>
      <w:pPr>
        <w:pStyle w:val="41"/>
        <w:numPr>
          <w:ilvl w:val="1"/>
          <w:numId w:val="22"/>
        </w:numPr>
        <w:tabs>
          <w:tab w:val="left" w:pos="634"/>
        </w:tabs>
        <w:spacing w:before="178"/>
        <w:ind w:left="633" w:hanging="422"/>
        <w:rPr>
          <w:rFonts w:ascii="Times New Roman" w:eastAsia="Times New Roman"/>
          <w:color w:val="auto"/>
        </w:rPr>
      </w:pPr>
      <w:bookmarkStart w:id="123" w:name="4.4_联合体"/>
      <w:bookmarkEnd w:id="123"/>
      <w:r>
        <w:rPr>
          <w:color w:val="auto"/>
        </w:rPr>
        <w:t>联合体</w:t>
      </w:r>
    </w:p>
    <w:p>
      <w:pPr>
        <w:pStyle w:val="44"/>
        <w:numPr>
          <w:ilvl w:val="2"/>
          <w:numId w:val="22"/>
        </w:numPr>
        <w:tabs>
          <w:tab w:val="left" w:pos="1159"/>
        </w:tabs>
        <w:spacing w:before="181"/>
        <w:ind w:left="1158" w:hanging="526"/>
        <w:rPr>
          <w:color w:val="auto"/>
          <w:sz w:val="21"/>
        </w:rPr>
      </w:pPr>
      <w:r>
        <w:rPr>
          <w:color w:val="auto"/>
          <w:spacing w:val="-3"/>
          <w:sz w:val="21"/>
        </w:rPr>
        <w:t>联合体各方应共同与发包人签订合同。联合体各方应为履行合同承担连带责任。</w:t>
      </w:r>
      <w:r>
        <w:rPr>
          <w:color w:val="auto"/>
          <w:sz w:val="21"/>
        </w:rPr>
        <w:t xml:space="preserve"> </w:t>
      </w:r>
    </w:p>
    <w:p>
      <w:pPr>
        <w:pStyle w:val="8"/>
        <w:spacing w:before="7"/>
        <w:rPr>
          <w:color w:val="auto"/>
          <w:sz w:val="15"/>
        </w:rPr>
      </w:pPr>
    </w:p>
    <w:p>
      <w:pPr>
        <w:pStyle w:val="44"/>
        <w:numPr>
          <w:ilvl w:val="2"/>
          <w:numId w:val="22"/>
        </w:numPr>
        <w:tabs>
          <w:tab w:val="left" w:pos="1057"/>
        </w:tabs>
        <w:spacing w:before="1" w:line="417" w:lineRule="auto"/>
        <w:ind w:left="212" w:right="432" w:firstLine="420"/>
        <w:rPr>
          <w:color w:val="auto"/>
          <w:sz w:val="21"/>
        </w:rPr>
      </w:pPr>
      <w:r>
        <w:rPr>
          <w:color w:val="auto"/>
          <w:spacing w:val="-1"/>
          <w:sz w:val="21"/>
        </w:rPr>
        <w:t>联合体协议经发包人确认后作为合同附件。在履行合同过程中，未经发包人同意，不得修改联</w:t>
      </w:r>
      <w:r>
        <w:rPr>
          <w:color w:val="auto"/>
          <w:spacing w:val="-2"/>
          <w:sz w:val="21"/>
        </w:rPr>
        <w:t>合体协议。</w:t>
      </w:r>
      <w:r>
        <w:rPr>
          <w:color w:val="auto"/>
          <w:sz w:val="21"/>
        </w:rPr>
        <w:t xml:space="preserve"> </w:t>
      </w:r>
    </w:p>
    <w:p>
      <w:pPr>
        <w:pStyle w:val="44"/>
        <w:numPr>
          <w:ilvl w:val="2"/>
          <w:numId w:val="22"/>
        </w:numPr>
        <w:tabs>
          <w:tab w:val="left" w:pos="1162"/>
        </w:tabs>
        <w:spacing w:line="417" w:lineRule="auto"/>
        <w:ind w:left="212" w:right="432" w:firstLine="420"/>
        <w:rPr>
          <w:color w:val="auto"/>
          <w:sz w:val="21"/>
        </w:rPr>
      </w:pPr>
      <w:r>
        <w:rPr>
          <w:color w:val="auto"/>
          <w:spacing w:val="-1"/>
          <w:sz w:val="21"/>
        </w:rPr>
        <w:t>联合体牵头人或联合体授权的代表负责与发包人和监理人联系，并接受指示，负责组织联合体</w:t>
      </w:r>
      <w:r>
        <w:rPr>
          <w:color w:val="auto"/>
          <w:spacing w:val="-3"/>
          <w:sz w:val="21"/>
        </w:rPr>
        <w:t>各成员全面履行合同。</w:t>
      </w:r>
      <w:r>
        <w:rPr>
          <w:color w:val="auto"/>
          <w:sz w:val="21"/>
        </w:rPr>
        <w:t xml:space="preserve"> </w:t>
      </w:r>
    </w:p>
    <w:p>
      <w:pPr>
        <w:pStyle w:val="41"/>
        <w:numPr>
          <w:ilvl w:val="1"/>
          <w:numId w:val="22"/>
        </w:numPr>
        <w:tabs>
          <w:tab w:val="left" w:pos="634"/>
        </w:tabs>
        <w:spacing w:line="287" w:lineRule="exact"/>
        <w:ind w:left="633" w:hanging="422"/>
        <w:rPr>
          <w:rFonts w:ascii="Times New Roman" w:eastAsia="Times New Roman"/>
          <w:color w:val="auto"/>
        </w:rPr>
      </w:pPr>
      <w:bookmarkStart w:id="124" w:name="4.5_承包人项目经理"/>
      <w:bookmarkEnd w:id="124"/>
      <w:r>
        <w:rPr>
          <w:color w:val="auto"/>
        </w:rPr>
        <w:t>承包人项目经理</w:t>
      </w:r>
    </w:p>
    <w:p>
      <w:pPr>
        <w:pStyle w:val="44"/>
        <w:numPr>
          <w:ilvl w:val="2"/>
          <w:numId w:val="22"/>
        </w:numPr>
        <w:tabs>
          <w:tab w:val="left" w:pos="1057"/>
        </w:tabs>
        <w:spacing w:before="180" w:line="417" w:lineRule="auto"/>
        <w:ind w:left="212" w:right="426" w:firstLine="420"/>
        <w:jc w:val="both"/>
        <w:rPr>
          <w:color w:val="auto"/>
          <w:sz w:val="21"/>
        </w:rPr>
      </w:pPr>
      <w:r>
        <w:rPr>
          <w:color w:val="auto"/>
          <w:spacing w:val="-1"/>
          <w:sz w:val="21"/>
        </w:rPr>
        <w:t>承包人应按合同协议书的约定指派项目经理，并在约定的期限内到职。承包人更换项目经理应</w:t>
      </w:r>
      <w:r>
        <w:rPr>
          <w:color w:val="auto"/>
          <w:spacing w:val="-2"/>
          <w:sz w:val="21"/>
        </w:rPr>
        <w:t xml:space="preserve">事先征得发包人同意，并应在更换 </w:t>
      </w:r>
      <w:r>
        <w:rPr>
          <w:color w:val="auto"/>
          <w:sz w:val="21"/>
        </w:rPr>
        <w:t>14</w:t>
      </w:r>
      <w:r>
        <w:rPr>
          <w:color w:val="auto"/>
          <w:spacing w:val="-3"/>
          <w:sz w:val="21"/>
        </w:rPr>
        <w:t xml:space="preserve"> 天前将拟更换的项目经理的姓名和详细资料提交发包人和监理人。</w:t>
      </w:r>
    </w:p>
    <w:p>
      <w:pPr>
        <w:pStyle w:val="8"/>
        <w:spacing w:line="269" w:lineRule="exact"/>
        <w:ind w:left="212"/>
        <w:jc w:val="both"/>
        <w:rPr>
          <w:color w:val="auto"/>
        </w:rPr>
      </w:pPr>
      <w:r>
        <w:rPr>
          <w:color w:val="auto"/>
        </w:rPr>
        <w:t xml:space="preserve">承包人项目经理 2 天内不能履行职责的，应事先征得监理人同意，并委派代表代行其职责。 </w:t>
      </w:r>
    </w:p>
    <w:p>
      <w:pPr>
        <w:pStyle w:val="8"/>
        <w:spacing w:before="7"/>
        <w:rPr>
          <w:color w:val="auto"/>
          <w:sz w:val="15"/>
        </w:rPr>
      </w:pPr>
    </w:p>
    <w:p>
      <w:pPr>
        <w:pStyle w:val="44"/>
        <w:numPr>
          <w:ilvl w:val="2"/>
          <w:numId w:val="22"/>
        </w:numPr>
        <w:tabs>
          <w:tab w:val="left" w:pos="1057"/>
        </w:tabs>
        <w:spacing w:line="417" w:lineRule="auto"/>
        <w:ind w:left="212" w:right="426" w:firstLine="420"/>
        <w:jc w:val="both"/>
        <w:rPr>
          <w:color w:val="auto"/>
          <w:sz w:val="21"/>
        </w:rPr>
      </w:pPr>
      <w:r>
        <w:rPr>
          <w:color w:val="auto"/>
          <w:spacing w:val="-4"/>
          <w:sz w:val="21"/>
        </w:rPr>
        <w:t xml:space="preserve">承包人项目经理应按合同约定以及监理人按第 </w:t>
      </w:r>
      <w:r>
        <w:rPr>
          <w:color w:val="auto"/>
          <w:sz w:val="21"/>
        </w:rPr>
        <w:t>3.4</w:t>
      </w:r>
      <w:r>
        <w:rPr>
          <w:color w:val="auto"/>
          <w:spacing w:val="-3"/>
          <w:sz w:val="21"/>
        </w:rPr>
        <w:t xml:space="preserve"> 款作出的指示，负责组织合同工作的实施。</w:t>
      </w:r>
      <w:r>
        <w:rPr>
          <w:color w:val="auto"/>
          <w:spacing w:val="-5"/>
          <w:sz w:val="21"/>
        </w:rPr>
        <w:t>在情况紧急且无法与监理人取得联系时，可采取保证工程和人员生命财产安全的紧急措施，并在采取措施</w:t>
      </w:r>
      <w:r>
        <w:rPr>
          <w:color w:val="auto"/>
          <w:spacing w:val="-29"/>
          <w:sz w:val="21"/>
        </w:rPr>
        <w:t xml:space="preserve">后 </w:t>
      </w:r>
      <w:r>
        <w:rPr>
          <w:color w:val="auto"/>
          <w:sz w:val="21"/>
        </w:rPr>
        <w:t>24</w:t>
      </w:r>
      <w:r>
        <w:rPr>
          <w:color w:val="auto"/>
          <w:spacing w:val="-9"/>
          <w:sz w:val="21"/>
        </w:rPr>
        <w:t xml:space="preserve"> 小时内向监理人提交书面报告。</w:t>
      </w:r>
      <w:r>
        <w:rPr>
          <w:color w:val="auto"/>
          <w:sz w:val="21"/>
        </w:rPr>
        <w:t xml:space="preserve"> </w:t>
      </w:r>
    </w:p>
    <w:p>
      <w:pPr>
        <w:pStyle w:val="44"/>
        <w:numPr>
          <w:ilvl w:val="2"/>
          <w:numId w:val="22"/>
        </w:numPr>
        <w:tabs>
          <w:tab w:val="left" w:pos="1057"/>
        </w:tabs>
        <w:spacing w:line="269" w:lineRule="exact"/>
        <w:ind w:left="1056" w:hanging="424"/>
        <w:rPr>
          <w:color w:val="auto"/>
          <w:sz w:val="21"/>
        </w:rPr>
      </w:pPr>
      <w:r>
        <w:rPr>
          <w:color w:val="auto"/>
          <w:spacing w:val="-3"/>
          <w:sz w:val="21"/>
        </w:rPr>
        <w:t>承包人为履行合同发出的一切函件均应盖有承包人单位章或由承包人项目经理签字。</w:t>
      </w:r>
      <w:r>
        <w:rPr>
          <w:color w:val="auto"/>
          <w:sz w:val="21"/>
        </w:rPr>
        <w:t xml:space="preserve"> </w:t>
      </w:r>
    </w:p>
    <w:p>
      <w:pPr>
        <w:pStyle w:val="8"/>
        <w:spacing w:before="7"/>
        <w:rPr>
          <w:color w:val="auto"/>
          <w:sz w:val="15"/>
        </w:rPr>
      </w:pPr>
    </w:p>
    <w:p>
      <w:pPr>
        <w:pStyle w:val="44"/>
        <w:numPr>
          <w:ilvl w:val="2"/>
          <w:numId w:val="22"/>
        </w:numPr>
        <w:tabs>
          <w:tab w:val="left" w:pos="1057"/>
        </w:tabs>
        <w:spacing w:line="417" w:lineRule="auto"/>
        <w:ind w:left="212" w:right="432" w:firstLine="420"/>
        <w:rPr>
          <w:color w:val="auto"/>
          <w:sz w:val="21"/>
        </w:rPr>
      </w:pPr>
      <w:r>
        <w:rPr>
          <w:color w:val="auto"/>
          <w:spacing w:val="-1"/>
          <w:sz w:val="21"/>
        </w:rPr>
        <w:t>承包人项目经理可以授权其下属人员履行其某项职责，但事先应将这些人员的姓名和授权范围</w:t>
      </w:r>
      <w:r>
        <w:rPr>
          <w:color w:val="auto"/>
          <w:spacing w:val="-3"/>
          <w:sz w:val="21"/>
        </w:rPr>
        <w:t xml:space="preserve">书面通知发包人和监理人。 </w:t>
      </w:r>
    </w:p>
    <w:p>
      <w:pPr>
        <w:pStyle w:val="41"/>
        <w:numPr>
          <w:ilvl w:val="1"/>
          <w:numId w:val="22"/>
        </w:numPr>
        <w:tabs>
          <w:tab w:val="left" w:pos="634"/>
        </w:tabs>
        <w:spacing w:line="287" w:lineRule="exact"/>
        <w:ind w:left="633" w:hanging="422"/>
        <w:rPr>
          <w:rFonts w:ascii="Times New Roman" w:eastAsia="Times New Roman"/>
          <w:color w:val="auto"/>
        </w:rPr>
      </w:pPr>
      <w:r>
        <w:rPr>
          <w:color w:val="auto"/>
        </w:rPr>
        <w:t>承包人人员的管理</w:t>
      </w:r>
    </w:p>
    <w:p>
      <w:pPr>
        <w:pStyle w:val="44"/>
        <w:numPr>
          <w:ilvl w:val="2"/>
          <w:numId w:val="22"/>
        </w:numPr>
        <w:tabs>
          <w:tab w:val="left" w:pos="1057"/>
        </w:tabs>
        <w:spacing w:before="181" w:line="417" w:lineRule="auto"/>
        <w:ind w:left="212" w:right="426" w:firstLine="420"/>
        <w:jc w:val="both"/>
        <w:rPr>
          <w:color w:val="auto"/>
          <w:sz w:val="21"/>
        </w:rPr>
      </w:pPr>
      <w:r>
        <w:rPr>
          <w:color w:val="auto"/>
          <w:spacing w:val="-6"/>
          <w:sz w:val="21"/>
        </w:rPr>
        <w:t xml:space="preserve">承包人应在接到开始工作通知之日起 </w:t>
      </w:r>
      <w:r>
        <w:rPr>
          <w:color w:val="auto"/>
          <w:sz w:val="21"/>
        </w:rPr>
        <w:t>28</w:t>
      </w:r>
      <w:r>
        <w:rPr>
          <w:color w:val="auto"/>
          <w:spacing w:val="-10"/>
          <w:sz w:val="21"/>
        </w:rPr>
        <w:t xml:space="preserve"> 天内，向监理人提交承包人的项目管理机构以及人员安</w:t>
      </w:r>
      <w:r>
        <w:rPr>
          <w:color w:val="auto"/>
          <w:spacing w:val="-8"/>
          <w:sz w:val="21"/>
        </w:rPr>
        <w:t>排的报告，其内容应包括项目管理机构的设置、各主要岗位的技术和管理人员名单及其资格，以及设计人</w:t>
      </w:r>
      <w:r>
        <w:rPr>
          <w:color w:val="auto"/>
          <w:spacing w:val="-7"/>
          <w:sz w:val="21"/>
        </w:rPr>
        <w:t>员和各工种技术工人的安排状况。承包人安排的主要管理人员和技术人员应相对稳定，更换主要管理人员和技术人员的，应取得监理人的同意,并向监理人提交继任人员的资格、管理经验等资料。项目经理的更</w:t>
      </w:r>
      <w:r>
        <w:rPr>
          <w:color w:val="auto"/>
          <w:spacing w:val="-12"/>
          <w:sz w:val="21"/>
        </w:rPr>
        <w:t xml:space="preserve">换，应按照本章第 </w:t>
      </w:r>
      <w:r>
        <w:rPr>
          <w:color w:val="auto"/>
          <w:sz w:val="21"/>
        </w:rPr>
        <w:t>4.5</w:t>
      </w:r>
      <w:r>
        <w:rPr>
          <w:color w:val="auto"/>
          <w:spacing w:val="-10"/>
          <w:sz w:val="21"/>
        </w:rPr>
        <w:t xml:space="preserve"> 款规定执行。 </w:t>
      </w:r>
    </w:p>
    <w:p>
      <w:pPr>
        <w:pStyle w:val="44"/>
        <w:numPr>
          <w:ilvl w:val="2"/>
          <w:numId w:val="22"/>
        </w:numPr>
        <w:tabs>
          <w:tab w:val="left" w:pos="1162"/>
        </w:tabs>
        <w:spacing w:line="268" w:lineRule="exact"/>
        <w:ind w:left="1161" w:hanging="529"/>
        <w:jc w:val="both"/>
        <w:rPr>
          <w:color w:val="auto"/>
          <w:sz w:val="21"/>
        </w:rPr>
      </w:pPr>
      <w:r>
        <w:rPr>
          <w:color w:val="auto"/>
          <w:sz w:val="21"/>
        </w:rPr>
        <w:t>承包人安排的主要管理人员包括项目经理、设计负责人、施工负责人、采购负责人以及专职质</w:t>
      </w:r>
    </w:p>
    <w:p>
      <w:pPr>
        <w:spacing w:line="268" w:lineRule="exact"/>
        <w:jc w:val="both"/>
        <w:rPr>
          <w:color w:val="auto"/>
          <w:sz w:val="21"/>
        </w:rPr>
        <w:sectPr>
          <w:pgSz w:w="11910" w:h="16840"/>
          <w:pgMar w:top="1540" w:right="700" w:bottom="1180" w:left="920" w:header="0" w:footer="995" w:gutter="0"/>
          <w:cols w:space="720" w:num="1"/>
        </w:sectPr>
      </w:pPr>
    </w:p>
    <w:p>
      <w:pPr>
        <w:pStyle w:val="8"/>
        <w:spacing w:before="45"/>
        <w:ind w:left="212"/>
        <w:rPr>
          <w:color w:val="auto"/>
        </w:rPr>
      </w:pPr>
      <w:r>
        <w:rPr>
          <w:color w:val="auto"/>
        </w:rPr>
        <w:t xml:space="preserve">量、安全生产管理人员等；技术人员包括设计师、建筑师、土木工程师、设备工程师、建造师等。 </w:t>
      </w:r>
    </w:p>
    <w:p>
      <w:pPr>
        <w:pStyle w:val="8"/>
        <w:spacing w:before="7"/>
        <w:rPr>
          <w:color w:val="auto"/>
          <w:sz w:val="15"/>
        </w:rPr>
      </w:pPr>
    </w:p>
    <w:p>
      <w:pPr>
        <w:pStyle w:val="44"/>
        <w:numPr>
          <w:ilvl w:val="2"/>
          <w:numId w:val="22"/>
        </w:numPr>
        <w:tabs>
          <w:tab w:val="left" w:pos="1162"/>
        </w:tabs>
        <w:spacing w:line="417" w:lineRule="auto"/>
        <w:ind w:left="212" w:right="432" w:firstLine="420"/>
        <w:rPr>
          <w:color w:val="auto"/>
          <w:sz w:val="21"/>
        </w:rPr>
      </w:pPr>
      <w:r>
        <w:rPr>
          <w:color w:val="auto"/>
          <w:spacing w:val="-1"/>
          <w:sz w:val="21"/>
        </w:rPr>
        <w:t>承包人的设计人员应由具有国家规定和发包人要求中约定的资格，并具有从事设计所必需的经</w:t>
      </w:r>
      <w:r>
        <w:rPr>
          <w:color w:val="auto"/>
          <w:spacing w:val="-2"/>
          <w:sz w:val="21"/>
        </w:rPr>
        <w:t>验与能力。</w:t>
      </w:r>
      <w:r>
        <w:rPr>
          <w:color w:val="auto"/>
          <w:sz w:val="21"/>
        </w:rPr>
        <w:t xml:space="preserve"> </w:t>
      </w:r>
    </w:p>
    <w:p>
      <w:pPr>
        <w:pStyle w:val="8"/>
        <w:spacing w:line="417" w:lineRule="auto"/>
        <w:ind w:left="212" w:right="397" w:firstLine="420"/>
        <w:rPr>
          <w:color w:val="auto"/>
        </w:rPr>
      </w:pPr>
      <w:r>
        <w:rPr>
          <w:color w:val="auto"/>
        </w:rPr>
        <w:t xml:space="preserve">承包人应保证其设计人员（包括分包人的设计人员）在合同期限内的任何时候，都能按时参加发包人或其委托的监理人组织的工作会议。 </w:t>
      </w:r>
    </w:p>
    <w:p>
      <w:pPr>
        <w:pStyle w:val="44"/>
        <w:numPr>
          <w:ilvl w:val="2"/>
          <w:numId w:val="22"/>
        </w:numPr>
        <w:tabs>
          <w:tab w:val="left" w:pos="1162"/>
        </w:tabs>
        <w:spacing w:line="417" w:lineRule="auto"/>
        <w:ind w:left="212" w:right="428" w:firstLine="420"/>
        <w:rPr>
          <w:color w:val="auto"/>
          <w:sz w:val="21"/>
        </w:rPr>
      </w:pPr>
      <w:r>
        <w:rPr>
          <w:color w:val="auto"/>
          <w:spacing w:val="-1"/>
          <w:sz w:val="21"/>
        </w:rPr>
        <w:t>国家规定应当持证上岗的工作人员均应持有相应的资格证明，监理人有权随时检查。监理人认</w:t>
      </w:r>
      <w:r>
        <w:rPr>
          <w:color w:val="auto"/>
          <w:spacing w:val="-3"/>
          <w:sz w:val="21"/>
        </w:rPr>
        <w:t xml:space="preserve">为有必要时，可进行现场考核。 </w:t>
      </w:r>
    </w:p>
    <w:p>
      <w:pPr>
        <w:pStyle w:val="44"/>
        <w:numPr>
          <w:ilvl w:val="2"/>
          <w:numId w:val="22"/>
        </w:numPr>
        <w:tabs>
          <w:tab w:val="left" w:pos="1057"/>
        </w:tabs>
        <w:spacing w:line="417" w:lineRule="auto"/>
        <w:ind w:left="212" w:right="426" w:firstLine="420"/>
        <w:jc w:val="both"/>
        <w:rPr>
          <w:color w:val="auto"/>
          <w:sz w:val="21"/>
        </w:rPr>
      </w:pPr>
      <w:r>
        <w:rPr>
          <w:color w:val="auto"/>
          <w:spacing w:val="-3"/>
          <w:sz w:val="21"/>
        </w:rPr>
        <w:t xml:space="preserve">除专用合同条款另有约定外，承包人的主要施工管理人员离开施工现场连续超过 </w:t>
      </w:r>
      <w:r>
        <w:rPr>
          <w:color w:val="auto"/>
          <w:sz w:val="21"/>
        </w:rPr>
        <w:t>3</w:t>
      </w:r>
      <w:r>
        <w:rPr>
          <w:color w:val="auto"/>
          <w:spacing w:val="-1"/>
          <w:sz w:val="21"/>
        </w:rPr>
        <w:t xml:space="preserve"> 天的，应事</w:t>
      </w:r>
      <w:r>
        <w:rPr>
          <w:color w:val="auto"/>
          <w:spacing w:val="-6"/>
          <w:sz w:val="21"/>
        </w:rPr>
        <w:t>先征得监理人同意。承包人擅自更换项目经理或主要施工管理人员，或前述人员未经监理人许可擅自离开</w:t>
      </w:r>
      <w:r>
        <w:rPr>
          <w:color w:val="auto"/>
          <w:spacing w:val="-10"/>
          <w:sz w:val="21"/>
        </w:rPr>
        <w:t xml:space="preserve">施工现场连续超过 </w:t>
      </w:r>
      <w:r>
        <w:rPr>
          <w:color w:val="auto"/>
          <w:sz w:val="21"/>
        </w:rPr>
        <w:t>3</w:t>
      </w:r>
      <w:r>
        <w:rPr>
          <w:color w:val="auto"/>
          <w:spacing w:val="-9"/>
          <w:sz w:val="21"/>
        </w:rPr>
        <w:t xml:space="preserve"> 天的，应按照专用合同条款约定承担违约责任。</w:t>
      </w:r>
      <w:r>
        <w:rPr>
          <w:color w:val="auto"/>
          <w:sz w:val="21"/>
        </w:rPr>
        <w:t xml:space="preserve"> </w:t>
      </w:r>
    </w:p>
    <w:p>
      <w:pPr>
        <w:pStyle w:val="8"/>
        <w:ind w:left="633"/>
        <w:rPr>
          <w:color w:val="auto"/>
        </w:rPr>
      </w:pPr>
      <w:r>
        <w:rPr>
          <w:color w:val="auto"/>
        </w:rPr>
        <w:t xml:space="preserve"> </w:t>
      </w:r>
    </w:p>
    <w:p>
      <w:pPr>
        <w:pStyle w:val="41"/>
        <w:numPr>
          <w:ilvl w:val="1"/>
          <w:numId w:val="22"/>
        </w:numPr>
        <w:tabs>
          <w:tab w:val="left" w:pos="634"/>
        </w:tabs>
        <w:spacing w:before="178"/>
        <w:ind w:left="633" w:hanging="422"/>
        <w:rPr>
          <w:rFonts w:ascii="Times New Roman" w:eastAsia="Times New Roman"/>
          <w:color w:val="auto"/>
        </w:rPr>
      </w:pPr>
      <w:bookmarkStart w:id="125" w:name="4.7_撤换承包人项目经理和其他人员"/>
      <w:bookmarkEnd w:id="125"/>
      <w:r>
        <w:rPr>
          <w:color w:val="auto"/>
        </w:rPr>
        <w:t>撤换承包人项目经理和其他人员</w:t>
      </w:r>
    </w:p>
    <w:p>
      <w:pPr>
        <w:pStyle w:val="8"/>
        <w:spacing w:before="181" w:line="417" w:lineRule="auto"/>
        <w:ind w:left="212" w:right="426" w:firstLine="420"/>
        <w:rPr>
          <w:color w:val="auto"/>
        </w:rPr>
      </w:pPr>
      <w:r>
        <w:rPr>
          <w:color w:val="auto"/>
          <w:spacing w:val="-5"/>
        </w:rPr>
        <w:t>承包人应对其项目经理和其他人员进行有效管理。监理人要求撤换不能胜任本职工作、行为不端或玩</w:t>
      </w:r>
      <w:r>
        <w:rPr>
          <w:color w:val="auto"/>
          <w:spacing w:val="-4"/>
        </w:rPr>
        <w:t xml:space="preserve">忽职守的承包人项目经理和其他人员的，承包人应予以撤换。 </w:t>
      </w:r>
    </w:p>
    <w:p>
      <w:pPr>
        <w:pStyle w:val="41"/>
        <w:numPr>
          <w:ilvl w:val="1"/>
          <w:numId w:val="22"/>
        </w:numPr>
        <w:tabs>
          <w:tab w:val="left" w:pos="634"/>
        </w:tabs>
        <w:spacing w:line="287" w:lineRule="exact"/>
        <w:ind w:left="633" w:hanging="422"/>
        <w:rPr>
          <w:rFonts w:ascii="Times New Roman" w:eastAsia="Times New Roman"/>
          <w:color w:val="auto"/>
        </w:rPr>
      </w:pPr>
      <w:bookmarkStart w:id="126" w:name="4.8_保障承包人人员的合法权益"/>
      <w:bookmarkEnd w:id="126"/>
      <w:r>
        <w:rPr>
          <w:color w:val="auto"/>
        </w:rPr>
        <w:t>保障承包人人员的合法权益</w:t>
      </w:r>
    </w:p>
    <w:p>
      <w:pPr>
        <w:pStyle w:val="44"/>
        <w:numPr>
          <w:ilvl w:val="2"/>
          <w:numId w:val="22"/>
        </w:numPr>
        <w:tabs>
          <w:tab w:val="left" w:pos="1057"/>
        </w:tabs>
        <w:spacing w:before="180"/>
        <w:ind w:left="1056" w:hanging="424"/>
        <w:rPr>
          <w:color w:val="auto"/>
          <w:sz w:val="21"/>
        </w:rPr>
      </w:pPr>
      <w:r>
        <w:rPr>
          <w:color w:val="auto"/>
          <w:spacing w:val="-3"/>
          <w:sz w:val="21"/>
        </w:rPr>
        <w:t>承包人应与其雇佣的人员签订劳动合同，并按时发放工资。</w:t>
      </w:r>
      <w:r>
        <w:rPr>
          <w:color w:val="auto"/>
          <w:sz w:val="21"/>
        </w:rPr>
        <w:t xml:space="preserve"> </w:t>
      </w:r>
    </w:p>
    <w:p>
      <w:pPr>
        <w:pStyle w:val="8"/>
        <w:spacing w:before="7"/>
        <w:rPr>
          <w:color w:val="auto"/>
          <w:sz w:val="15"/>
        </w:rPr>
      </w:pPr>
    </w:p>
    <w:p>
      <w:pPr>
        <w:pStyle w:val="44"/>
        <w:numPr>
          <w:ilvl w:val="2"/>
          <w:numId w:val="22"/>
        </w:numPr>
        <w:tabs>
          <w:tab w:val="left" w:pos="1057"/>
        </w:tabs>
        <w:spacing w:before="1" w:line="417" w:lineRule="auto"/>
        <w:ind w:left="212" w:right="325" w:firstLine="420"/>
        <w:rPr>
          <w:color w:val="auto"/>
          <w:sz w:val="21"/>
        </w:rPr>
      </w:pPr>
      <w:r>
        <w:rPr>
          <w:color w:val="auto"/>
          <w:sz w:val="21"/>
        </w:rPr>
        <w:t>承包人应按劳动法的规定安排工作时间，保证其雇佣人员享有休息和休假的权利。因设计、施工</w:t>
      </w:r>
      <w:r>
        <w:rPr>
          <w:color w:val="auto"/>
          <w:spacing w:val="-4"/>
          <w:sz w:val="21"/>
        </w:rPr>
        <w:t>的特殊需要占用休假日或延长工作时间的，应不超过法律规定的限度，并按法律规定给予补休或付酬。</w:t>
      </w:r>
      <w:r>
        <w:rPr>
          <w:color w:val="auto"/>
          <w:sz w:val="21"/>
        </w:rPr>
        <w:t xml:space="preserve"> </w:t>
      </w:r>
    </w:p>
    <w:p>
      <w:pPr>
        <w:pStyle w:val="44"/>
        <w:numPr>
          <w:ilvl w:val="2"/>
          <w:numId w:val="22"/>
        </w:numPr>
        <w:tabs>
          <w:tab w:val="left" w:pos="1057"/>
        </w:tabs>
        <w:spacing w:line="417" w:lineRule="auto"/>
        <w:ind w:left="212" w:right="432" w:firstLine="420"/>
        <w:rPr>
          <w:color w:val="auto"/>
          <w:sz w:val="21"/>
        </w:rPr>
      </w:pPr>
      <w:r>
        <w:rPr>
          <w:color w:val="auto"/>
          <w:spacing w:val="-1"/>
          <w:sz w:val="21"/>
        </w:rPr>
        <w:t>承包人应为其雇佣人员提供必要的食宿条件，以及符合环境保护和卫生要求的生活环境，在远</w:t>
      </w:r>
      <w:r>
        <w:rPr>
          <w:color w:val="auto"/>
          <w:spacing w:val="-3"/>
          <w:sz w:val="21"/>
        </w:rPr>
        <w:t xml:space="preserve">离城镇的施工场地，还应配备必要的伤病防治和急救的医务人员与医疗设施。 </w:t>
      </w:r>
    </w:p>
    <w:p>
      <w:pPr>
        <w:pStyle w:val="44"/>
        <w:numPr>
          <w:ilvl w:val="2"/>
          <w:numId w:val="22"/>
        </w:numPr>
        <w:tabs>
          <w:tab w:val="left" w:pos="1057"/>
        </w:tabs>
        <w:spacing w:line="417" w:lineRule="auto"/>
        <w:ind w:left="212" w:right="426" w:firstLine="420"/>
        <w:jc w:val="both"/>
        <w:rPr>
          <w:color w:val="auto"/>
          <w:sz w:val="21"/>
        </w:rPr>
      </w:pPr>
      <w:r>
        <w:rPr>
          <w:color w:val="auto"/>
          <w:spacing w:val="-1"/>
          <w:sz w:val="21"/>
        </w:rPr>
        <w:t>承包人应按国家有关劳动保护的规定，采取有效的防止粉尘、降低噪声、控制有害气体和保障</w:t>
      </w:r>
      <w:r>
        <w:rPr>
          <w:color w:val="auto"/>
          <w:spacing w:val="-6"/>
          <w:sz w:val="21"/>
        </w:rPr>
        <w:t>高温、高寒、高空作业安全等劳动保护措施。其雇佣人员在施工中受到伤害的，承包人应立即采取有效措</w:t>
      </w:r>
      <w:r>
        <w:rPr>
          <w:color w:val="auto"/>
          <w:spacing w:val="-4"/>
          <w:sz w:val="21"/>
        </w:rPr>
        <w:t>施进行抢救和治疗。</w:t>
      </w:r>
      <w:r>
        <w:rPr>
          <w:color w:val="auto"/>
          <w:sz w:val="21"/>
        </w:rPr>
        <w:t xml:space="preserve"> </w:t>
      </w:r>
    </w:p>
    <w:p>
      <w:pPr>
        <w:pStyle w:val="44"/>
        <w:numPr>
          <w:ilvl w:val="2"/>
          <w:numId w:val="22"/>
        </w:numPr>
        <w:tabs>
          <w:tab w:val="left" w:pos="1057"/>
        </w:tabs>
        <w:ind w:left="1056" w:hanging="424"/>
        <w:rPr>
          <w:color w:val="auto"/>
          <w:sz w:val="21"/>
        </w:rPr>
      </w:pPr>
      <w:r>
        <w:rPr>
          <w:color w:val="auto"/>
          <w:spacing w:val="-3"/>
          <w:sz w:val="21"/>
        </w:rPr>
        <w:t>承包人应按有关法律规定和合同约定，为其雇佣人员办理保险。</w:t>
      </w:r>
      <w:r>
        <w:rPr>
          <w:color w:val="auto"/>
          <w:sz w:val="21"/>
        </w:rPr>
        <w:t xml:space="preserve"> </w:t>
      </w:r>
    </w:p>
    <w:p>
      <w:pPr>
        <w:pStyle w:val="8"/>
        <w:spacing w:before="6"/>
        <w:rPr>
          <w:color w:val="auto"/>
          <w:sz w:val="15"/>
        </w:rPr>
      </w:pPr>
    </w:p>
    <w:p>
      <w:pPr>
        <w:pStyle w:val="44"/>
        <w:numPr>
          <w:ilvl w:val="2"/>
          <w:numId w:val="22"/>
        </w:numPr>
        <w:tabs>
          <w:tab w:val="left" w:pos="1057"/>
        </w:tabs>
        <w:ind w:left="1056" w:hanging="424"/>
        <w:rPr>
          <w:color w:val="auto"/>
          <w:sz w:val="21"/>
        </w:rPr>
      </w:pPr>
      <w:r>
        <w:rPr>
          <w:color w:val="auto"/>
          <w:spacing w:val="-3"/>
          <w:sz w:val="21"/>
        </w:rPr>
        <w:t>承包人应负责处理其雇佣人员因工伤亡事故的善后事宜。</w:t>
      </w:r>
      <w:r>
        <w:rPr>
          <w:color w:val="auto"/>
          <w:sz w:val="21"/>
        </w:rPr>
        <w:t xml:space="preserve"> </w:t>
      </w:r>
    </w:p>
    <w:p>
      <w:pPr>
        <w:pStyle w:val="41"/>
        <w:numPr>
          <w:ilvl w:val="1"/>
          <w:numId w:val="22"/>
        </w:numPr>
        <w:tabs>
          <w:tab w:val="left" w:pos="634"/>
        </w:tabs>
        <w:spacing w:before="178"/>
        <w:ind w:left="633" w:hanging="422"/>
        <w:rPr>
          <w:rFonts w:ascii="Times New Roman" w:eastAsia="Times New Roman"/>
          <w:color w:val="auto"/>
        </w:rPr>
      </w:pPr>
      <w:bookmarkStart w:id="127" w:name="4.9_工程价款应专款专用"/>
      <w:bookmarkEnd w:id="127"/>
      <w:r>
        <w:rPr>
          <w:color w:val="auto"/>
        </w:rPr>
        <w:t>工程价款应专款专用</w:t>
      </w:r>
    </w:p>
    <w:p>
      <w:pPr>
        <w:pStyle w:val="8"/>
        <w:spacing w:before="181"/>
        <w:ind w:left="633"/>
        <w:rPr>
          <w:color w:val="auto"/>
        </w:rPr>
      </w:pPr>
      <w:r>
        <w:rPr>
          <w:color w:val="auto"/>
        </w:rPr>
        <w:t xml:space="preserve">发包人按合同约定支付给承包人的各项价款应专用于合同工作。 </w:t>
      </w:r>
    </w:p>
    <w:p>
      <w:pPr>
        <w:pStyle w:val="41"/>
        <w:numPr>
          <w:ilvl w:val="1"/>
          <w:numId w:val="22"/>
        </w:numPr>
        <w:tabs>
          <w:tab w:val="left" w:pos="754"/>
        </w:tabs>
        <w:spacing w:before="179"/>
        <w:ind w:hanging="542"/>
        <w:rPr>
          <w:rFonts w:ascii="Times New Roman" w:eastAsia="Times New Roman"/>
          <w:color w:val="auto"/>
        </w:rPr>
      </w:pPr>
      <w:r>
        <w:rPr>
          <w:color w:val="auto"/>
        </w:rPr>
        <w:t>承包人现场查勘</w:t>
      </w:r>
    </w:p>
    <w:p>
      <w:pPr>
        <w:pStyle w:val="44"/>
        <w:numPr>
          <w:ilvl w:val="2"/>
          <w:numId w:val="22"/>
        </w:numPr>
        <w:tabs>
          <w:tab w:val="left" w:pos="1265"/>
        </w:tabs>
        <w:spacing w:before="181"/>
        <w:ind w:left="1264" w:hanging="632"/>
        <w:rPr>
          <w:color w:val="auto"/>
          <w:sz w:val="21"/>
        </w:rPr>
      </w:pPr>
      <w:r>
        <w:rPr>
          <w:color w:val="auto"/>
          <w:spacing w:val="-8"/>
          <w:sz w:val="21"/>
        </w:rPr>
        <w:t>发包人应向承包人提供施工场地及毗邻区域内的供水、排水、供电、供气、供热、通信、广播</w:t>
      </w:r>
    </w:p>
    <w:p>
      <w:pPr>
        <w:rPr>
          <w:color w:val="auto"/>
          <w:sz w:val="21"/>
        </w:rPr>
        <w:sectPr>
          <w:pgSz w:w="11910" w:h="16840"/>
          <w:pgMar w:top="1560" w:right="700" w:bottom="1180" w:left="920" w:header="0" w:footer="995" w:gutter="0"/>
          <w:cols w:space="720" w:num="1"/>
        </w:sectPr>
      </w:pPr>
    </w:p>
    <w:p>
      <w:pPr>
        <w:pStyle w:val="8"/>
        <w:spacing w:before="45" w:line="417" w:lineRule="auto"/>
        <w:ind w:left="212" w:right="426"/>
        <w:jc w:val="both"/>
        <w:rPr>
          <w:color w:val="auto"/>
        </w:rPr>
      </w:pPr>
      <w:r>
        <w:rPr>
          <w:color w:val="auto"/>
          <w:spacing w:val="-6"/>
        </w:rPr>
        <w:t>电视等地下管线资料、气象和水文观测资料，相邻建筑物和构筑物、地下工程的有关资料，以及其他与建设工程有关的原始资料，并承担原始资料错误造成的全部责任，但承包人应对其阅读上述有关资料后所作</w:t>
      </w:r>
      <w:r>
        <w:rPr>
          <w:color w:val="auto"/>
          <w:spacing w:val="-4"/>
        </w:rPr>
        <w:t>出的解释和推断负责。</w:t>
      </w:r>
      <w:r>
        <w:rPr>
          <w:color w:val="auto"/>
        </w:rPr>
        <w:t xml:space="preserve"> </w:t>
      </w:r>
    </w:p>
    <w:p>
      <w:pPr>
        <w:pStyle w:val="44"/>
        <w:numPr>
          <w:ilvl w:val="2"/>
          <w:numId w:val="22"/>
        </w:numPr>
        <w:tabs>
          <w:tab w:val="left" w:pos="1163"/>
        </w:tabs>
        <w:spacing w:line="417" w:lineRule="auto"/>
        <w:ind w:left="212" w:right="426" w:firstLine="420"/>
        <w:rPr>
          <w:color w:val="auto"/>
          <w:sz w:val="21"/>
        </w:rPr>
      </w:pPr>
      <w:r>
        <w:rPr>
          <w:color w:val="auto"/>
          <w:spacing w:val="-5"/>
          <w:sz w:val="21"/>
        </w:rPr>
        <w:t>承包人应对施工场地和周围环境进行查勘，并收集除发包人提供外为完成合同工作有关的当地</w:t>
      </w:r>
      <w:r>
        <w:rPr>
          <w:color w:val="auto"/>
          <w:spacing w:val="-4"/>
          <w:sz w:val="21"/>
        </w:rPr>
        <w:t>资料。在全部合同工作中，视为承包人已充分估计了应承担的责任和风险。</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28" w:name="4.11_不可预见物质条件（A）"/>
      <w:bookmarkEnd w:id="128"/>
      <w:r>
        <w:rPr>
          <w:color w:val="auto"/>
        </w:rPr>
        <w:t>不可预见物质条件（</w:t>
      </w:r>
      <w:r>
        <w:rPr>
          <w:rFonts w:ascii="Times New Roman" w:eastAsia="Times New Roman"/>
          <w:color w:val="auto"/>
        </w:rPr>
        <w:t>A</w:t>
      </w:r>
      <w:r>
        <w:rPr>
          <w:color w:val="auto"/>
        </w:rPr>
        <w:t>）</w:t>
      </w:r>
    </w:p>
    <w:p>
      <w:pPr>
        <w:pStyle w:val="44"/>
        <w:numPr>
          <w:ilvl w:val="2"/>
          <w:numId w:val="22"/>
        </w:numPr>
        <w:tabs>
          <w:tab w:val="left" w:pos="1156"/>
        </w:tabs>
        <w:spacing w:before="181" w:line="417" w:lineRule="auto"/>
        <w:ind w:left="212" w:right="426" w:firstLine="420"/>
        <w:rPr>
          <w:color w:val="auto"/>
          <w:sz w:val="21"/>
        </w:rPr>
      </w:pPr>
      <w:r>
        <w:rPr>
          <w:color w:val="auto"/>
          <w:spacing w:val="-5"/>
          <w:sz w:val="21"/>
        </w:rPr>
        <w:t>不可预见物质条件，除专用合同条款另有约定外，是指承包人在施工场地遇到的不可预见的自</w:t>
      </w:r>
      <w:r>
        <w:rPr>
          <w:color w:val="auto"/>
          <w:spacing w:val="-4"/>
          <w:sz w:val="21"/>
        </w:rPr>
        <w:t xml:space="preserve">然物质条件、非自然的物质障碍和污染物，包括地下和水文条件，但不包括气候条件。 </w:t>
      </w:r>
    </w:p>
    <w:p>
      <w:pPr>
        <w:pStyle w:val="44"/>
        <w:numPr>
          <w:ilvl w:val="2"/>
          <w:numId w:val="22"/>
        </w:numPr>
        <w:tabs>
          <w:tab w:val="left" w:pos="1156"/>
        </w:tabs>
        <w:spacing w:line="417" w:lineRule="auto"/>
        <w:ind w:left="212" w:right="323" w:firstLine="420"/>
        <w:rPr>
          <w:color w:val="auto"/>
          <w:sz w:val="21"/>
        </w:rPr>
      </w:pPr>
      <w:r>
        <w:rPr>
          <w:color w:val="auto"/>
          <w:spacing w:val="-7"/>
          <w:sz w:val="21"/>
        </w:rPr>
        <w:t>承包人遇到不可预见物质条件时，应采取适应不利物质条件的合理措施继续设计和</w:t>
      </w:r>
      <w:r>
        <w:rPr>
          <w:color w:val="auto"/>
          <w:spacing w:val="-3"/>
          <w:sz w:val="21"/>
        </w:rPr>
        <w:t>（</w:t>
      </w:r>
      <w:r>
        <w:rPr>
          <w:color w:val="auto"/>
          <w:sz w:val="21"/>
        </w:rPr>
        <w:t>或</w:t>
      </w:r>
      <w:r>
        <w:rPr>
          <w:color w:val="auto"/>
          <w:spacing w:val="-41"/>
          <w:sz w:val="21"/>
        </w:rPr>
        <w:t>）</w:t>
      </w:r>
      <w:r>
        <w:rPr>
          <w:color w:val="auto"/>
          <w:spacing w:val="-2"/>
          <w:sz w:val="21"/>
        </w:rPr>
        <w:t xml:space="preserve">施工， </w:t>
      </w:r>
      <w:r>
        <w:rPr>
          <w:color w:val="auto"/>
          <w:spacing w:val="-6"/>
          <w:sz w:val="21"/>
        </w:rPr>
        <w:t>并及时通知监理人，通知应载明不利物质条件的内容以及承包人认为不可预见的理由。监理人应当及时发</w:t>
      </w:r>
      <w:r>
        <w:rPr>
          <w:color w:val="auto"/>
          <w:spacing w:val="-4"/>
          <w:sz w:val="21"/>
        </w:rPr>
        <w:t xml:space="preserve">出指示，指示构成变更的，按第 </w:t>
      </w:r>
      <w:r>
        <w:rPr>
          <w:color w:val="auto"/>
          <w:sz w:val="21"/>
        </w:rPr>
        <w:t>15</w:t>
      </w:r>
      <w:r>
        <w:rPr>
          <w:color w:val="auto"/>
          <w:spacing w:val="-3"/>
          <w:sz w:val="21"/>
        </w:rPr>
        <w:t xml:space="preserve"> 条约定执行。监理人没有发出指示的，承包人因采取合理措施而增加的费用和（</w:t>
      </w:r>
      <w:r>
        <w:rPr>
          <w:color w:val="auto"/>
          <w:sz w:val="21"/>
        </w:rPr>
        <w:t>或</w:t>
      </w:r>
      <w:r>
        <w:rPr>
          <w:color w:val="auto"/>
          <w:spacing w:val="-3"/>
          <w:sz w:val="21"/>
        </w:rPr>
        <w:t>）工期延误，由发包人承担。</w:t>
      </w:r>
      <w:r>
        <w:rPr>
          <w:color w:val="auto"/>
          <w:sz w:val="21"/>
        </w:rPr>
        <w:t xml:space="preserve"> </w:t>
      </w:r>
    </w:p>
    <w:p>
      <w:pPr>
        <w:pStyle w:val="41"/>
        <w:numPr>
          <w:ilvl w:val="1"/>
          <w:numId w:val="27"/>
        </w:numPr>
        <w:tabs>
          <w:tab w:val="left" w:pos="754"/>
        </w:tabs>
        <w:spacing w:line="286" w:lineRule="exact"/>
        <w:ind w:hanging="542"/>
        <w:rPr>
          <w:color w:val="auto"/>
        </w:rPr>
      </w:pPr>
      <w:bookmarkStart w:id="129" w:name="4.11_不可预见的困难和费用（B）"/>
      <w:bookmarkEnd w:id="129"/>
      <w:r>
        <w:rPr>
          <w:color w:val="auto"/>
        </w:rPr>
        <w:t>不可预见的困难和费用（</w:t>
      </w:r>
      <w:r>
        <w:rPr>
          <w:rFonts w:ascii="Times New Roman" w:eastAsia="Times New Roman"/>
          <w:color w:val="auto"/>
        </w:rPr>
        <w:t>B</w:t>
      </w:r>
      <w:r>
        <w:rPr>
          <w:color w:val="auto"/>
        </w:rPr>
        <w:t>）</w:t>
      </w:r>
    </w:p>
    <w:p>
      <w:pPr>
        <w:pStyle w:val="8"/>
        <w:spacing w:before="181" w:line="417" w:lineRule="auto"/>
        <w:ind w:left="212" w:right="426" w:firstLine="420"/>
        <w:rPr>
          <w:color w:val="auto"/>
        </w:rPr>
      </w:pPr>
      <w:r>
        <w:rPr>
          <w:color w:val="auto"/>
          <w:spacing w:val="-6"/>
        </w:rPr>
        <w:t>除合同另有约定外，承包人应视为已取得工程有关风险、意外事件和其他情况的全部必要资料，并预</w:t>
      </w:r>
      <w:r>
        <w:rPr>
          <w:color w:val="auto"/>
          <w:spacing w:val="-4"/>
        </w:rPr>
        <w:t>见工程所有困难和费用。承包人遇到不可预见的困难和费用时，合同价格不予调整。</w:t>
      </w:r>
      <w:r>
        <w:rPr>
          <w:color w:val="auto"/>
        </w:rPr>
        <w:t xml:space="preserve"> </w:t>
      </w:r>
    </w:p>
    <w:p>
      <w:pPr>
        <w:pStyle w:val="41"/>
        <w:numPr>
          <w:ilvl w:val="1"/>
          <w:numId w:val="27"/>
        </w:numPr>
        <w:tabs>
          <w:tab w:val="left" w:pos="754"/>
        </w:tabs>
        <w:spacing w:line="287" w:lineRule="exact"/>
        <w:ind w:hanging="542"/>
        <w:rPr>
          <w:color w:val="auto"/>
        </w:rPr>
      </w:pPr>
      <w:r>
        <w:rPr>
          <w:color w:val="auto"/>
        </w:rPr>
        <w:t>进度计划</w:t>
      </w:r>
    </w:p>
    <w:p>
      <w:pPr>
        <w:pStyle w:val="44"/>
        <w:numPr>
          <w:ilvl w:val="2"/>
          <w:numId w:val="27"/>
        </w:numPr>
        <w:tabs>
          <w:tab w:val="left" w:pos="1163"/>
        </w:tabs>
        <w:spacing w:before="181"/>
        <w:ind w:hanging="530"/>
        <w:rPr>
          <w:color w:val="auto"/>
          <w:sz w:val="21"/>
        </w:rPr>
      </w:pPr>
      <w:r>
        <w:rPr>
          <w:color w:val="auto"/>
          <w:spacing w:val="-3"/>
          <w:sz w:val="21"/>
        </w:rPr>
        <w:t>合同进度计划</w:t>
      </w:r>
      <w:r>
        <w:rPr>
          <w:color w:val="auto"/>
          <w:sz w:val="21"/>
        </w:rPr>
        <w:t xml:space="preserve"> </w:t>
      </w:r>
    </w:p>
    <w:p>
      <w:pPr>
        <w:pStyle w:val="8"/>
        <w:spacing w:before="7"/>
        <w:rPr>
          <w:color w:val="auto"/>
          <w:sz w:val="15"/>
        </w:rPr>
      </w:pPr>
    </w:p>
    <w:p>
      <w:pPr>
        <w:pStyle w:val="8"/>
        <w:spacing w:line="417" w:lineRule="auto"/>
        <w:ind w:left="212" w:right="323" w:firstLine="420"/>
        <w:rPr>
          <w:color w:val="auto"/>
        </w:rPr>
      </w:pPr>
      <w:r>
        <w:rPr>
          <w:color w:val="auto"/>
          <w:spacing w:val="-9"/>
        </w:rPr>
        <w:t>承包人应按合同约定的内容和期限，编制详细的进度计划，包括设计、承包人文件提交、采购、制造、</w:t>
      </w:r>
      <w:r>
        <w:rPr>
          <w:color w:val="auto"/>
          <w:spacing w:val="-5"/>
        </w:rPr>
        <w:t>检验、运达现场、施工、安装、试验的各个阶段的预期时间以及设计和施工组织方案说明等报送监理人。</w:t>
      </w:r>
      <w:r>
        <w:rPr>
          <w:color w:val="auto"/>
          <w:spacing w:val="-6"/>
        </w:rPr>
        <w:t>监理人应在专用合同条款约定的期限内批复或提出修改意见，否则该进度计划视为已得到批准。经监理人</w:t>
      </w:r>
      <w:r>
        <w:rPr>
          <w:color w:val="auto"/>
          <w:spacing w:val="-7"/>
        </w:rPr>
        <w:t>批准的进度计划称合同进度计划，是控制合同工程进度的依据。承包人还应根据合同进度计划，编制更为</w:t>
      </w:r>
      <w:r>
        <w:rPr>
          <w:color w:val="auto"/>
          <w:spacing w:val="-5"/>
        </w:rPr>
        <w:t>详细的分阶段或分项进度计划，报监理人批准。</w:t>
      </w:r>
      <w:r>
        <w:rPr>
          <w:color w:val="auto"/>
        </w:rPr>
        <w:t xml:space="preserve"> </w:t>
      </w:r>
    </w:p>
    <w:p>
      <w:pPr>
        <w:pStyle w:val="44"/>
        <w:numPr>
          <w:ilvl w:val="2"/>
          <w:numId w:val="27"/>
        </w:numPr>
        <w:tabs>
          <w:tab w:val="left" w:pos="1265"/>
        </w:tabs>
        <w:spacing w:line="268" w:lineRule="exact"/>
        <w:ind w:left="1264" w:hanging="632"/>
        <w:rPr>
          <w:color w:val="auto"/>
          <w:sz w:val="21"/>
        </w:rPr>
      </w:pPr>
      <w:r>
        <w:rPr>
          <w:color w:val="auto"/>
          <w:spacing w:val="-3"/>
          <w:sz w:val="21"/>
        </w:rPr>
        <w:t>合同进度计划的修订</w:t>
      </w:r>
    </w:p>
    <w:p>
      <w:pPr>
        <w:pStyle w:val="8"/>
        <w:spacing w:before="7"/>
        <w:rPr>
          <w:color w:val="auto"/>
          <w:sz w:val="15"/>
        </w:rPr>
      </w:pPr>
    </w:p>
    <w:p>
      <w:pPr>
        <w:pStyle w:val="8"/>
        <w:spacing w:line="417" w:lineRule="auto"/>
        <w:ind w:left="212" w:right="405" w:firstLine="420"/>
        <w:jc w:val="both"/>
        <w:rPr>
          <w:color w:val="auto"/>
        </w:rPr>
      </w:pPr>
      <w:r>
        <w:rPr>
          <w:color w:val="auto"/>
          <w:spacing w:val="-3"/>
        </w:rPr>
        <w:t xml:space="preserve">不论何种原因造成工程的实际进度与第 </w:t>
      </w:r>
      <w:r>
        <w:rPr>
          <w:color w:val="auto"/>
        </w:rPr>
        <w:t>4.12.1</w:t>
      </w:r>
      <w:r>
        <w:rPr>
          <w:color w:val="auto"/>
          <w:spacing w:val="-3"/>
        </w:rPr>
        <w:t xml:space="preserve"> 项的合同进度计划不符时，承包人可以在专用合同条款约定的期限内向监理人提交修订合同进度计划的申请报告，并附有关措施和相关资料，报监理人批准； </w:t>
      </w:r>
      <w:r>
        <w:rPr>
          <w:color w:val="auto"/>
          <w:spacing w:val="-5"/>
        </w:rPr>
        <w:t>监理人也可以直接向承包人作出修订合同进度计划的指示，承包人应按该指示修订合同进度计划，报监理</w:t>
      </w:r>
      <w:r>
        <w:rPr>
          <w:color w:val="auto"/>
          <w:spacing w:val="-4"/>
        </w:rPr>
        <w:t xml:space="preserve">人批准。监理人应在专用合同条款约定的期限内批复。监理人在批复前应获得发包人同意。 </w:t>
      </w:r>
    </w:p>
    <w:p>
      <w:pPr>
        <w:pStyle w:val="41"/>
        <w:numPr>
          <w:ilvl w:val="1"/>
          <w:numId w:val="27"/>
        </w:numPr>
        <w:tabs>
          <w:tab w:val="left" w:pos="754"/>
        </w:tabs>
        <w:spacing w:line="286" w:lineRule="exact"/>
        <w:ind w:hanging="542"/>
        <w:rPr>
          <w:color w:val="auto"/>
        </w:rPr>
      </w:pPr>
      <w:bookmarkStart w:id="130" w:name="4.13_质量保证"/>
      <w:bookmarkEnd w:id="130"/>
      <w:r>
        <w:rPr>
          <w:color w:val="auto"/>
        </w:rPr>
        <w:t>质量保证</w:t>
      </w:r>
    </w:p>
    <w:p>
      <w:pPr>
        <w:pStyle w:val="44"/>
        <w:numPr>
          <w:ilvl w:val="2"/>
          <w:numId w:val="27"/>
        </w:numPr>
        <w:tabs>
          <w:tab w:val="left" w:pos="1265"/>
        </w:tabs>
        <w:spacing w:before="181"/>
        <w:ind w:left="1264" w:hanging="632"/>
        <w:rPr>
          <w:color w:val="auto"/>
          <w:sz w:val="21"/>
        </w:rPr>
      </w:pPr>
      <w:r>
        <w:rPr>
          <w:color w:val="auto"/>
          <w:spacing w:val="-6"/>
          <w:sz w:val="21"/>
        </w:rPr>
        <w:t>为保证工程质量，承包人应按照合同要求建立质量保证体系。监理人有权对承包人的质量保证</w:t>
      </w:r>
    </w:p>
    <w:p>
      <w:pPr>
        <w:rPr>
          <w:color w:val="auto"/>
          <w:sz w:val="21"/>
        </w:rPr>
        <w:sectPr>
          <w:pgSz w:w="11910" w:h="16840"/>
          <w:pgMar w:top="1560" w:right="700" w:bottom="1180" w:left="920" w:header="0" w:footer="995" w:gutter="0"/>
          <w:cols w:space="720" w:num="1"/>
        </w:sectPr>
      </w:pPr>
    </w:p>
    <w:p>
      <w:pPr>
        <w:pStyle w:val="8"/>
        <w:spacing w:before="45"/>
        <w:ind w:left="212"/>
        <w:rPr>
          <w:color w:val="auto"/>
        </w:rPr>
      </w:pPr>
      <w:r>
        <w:rPr>
          <w:color w:val="auto"/>
        </w:rPr>
        <w:t xml:space="preserve">体系进行审查。 </w:t>
      </w:r>
    </w:p>
    <w:p>
      <w:pPr>
        <w:pStyle w:val="8"/>
        <w:spacing w:before="7"/>
        <w:rPr>
          <w:color w:val="auto"/>
          <w:sz w:val="15"/>
        </w:rPr>
      </w:pPr>
    </w:p>
    <w:p>
      <w:pPr>
        <w:pStyle w:val="44"/>
        <w:numPr>
          <w:ilvl w:val="2"/>
          <w:numId w:val="27"/>
        </w:numPr>
        <w:tabs>
          <w:tab w:val="left" w:pos="1265"/>
        </w:tabs>
        <w:ind w:left="1264" w:hanging="632"/>
        <w:jc w:val="both"/>
        <w:rPr>
          <w:color w:val="auto"/>
          <w:sz w:val="21"/>
        </w:rPr>
      </w:pPr>
      <w:r>
        <w:rPr>
          <w:color w:val="auto"/>
          <w:spacing w:val="-3"/>
          <w:sz w:val="21"/>
        </w:rPr>
        <w:t>承包人应在各设计和实施阶段开始前，向监理人提交其具体的质量保证细则和工作程序。</w:t>
      </w:r>
      <w:r>
        <w:rPr>
          <w:color w:val="auto"/>
          <w:sz w:val="21"/>
        </w:rPr>
        <w:t xml:space="preserve"> </w:t>
      </w:r>
    </w:p>
    <w:p>
      <w:pPr>
        <w:pStyle w:val="8"/>
        <w:spacing w:before="7"/>
        <w:rPr>
          <w:color w:val="auto"/>
          <w:sz w:val="15"/>
        </w:rPr>
      </w:pPr>
    </w:p>
    <w:p>
      <w:pPr>
        <w:pStyle w:val="44"/>
        <w:numPr>
          <w:ilvl w:val="2"/>
          <w:numId w:val="27"/>
        </w:numPr>
        <w:tabs>
          <w:tab w:val="left" w:pos="1265"/>
        </w:tabs>
        <w:ind w:left="1264" w:hanging="632"/>
        <w:jc w:val="both"/>
        <w:rPr>
          <w:color w:val="auto"/>
          <w:sz w:val="21"/>
        </w:rPr>
      </w:pPr>
      <w:r>
        <w:rPr>
          <w:color w:val="auto"/>
          <w:spacing w:val="-3"/>
          <w:sz w:val="21"/>
        </w:rPr>
        <w:t>遵守质量保证体系，不应免除合同约定的承包人的义务和责任。</w:t>
      </w:r>
      <w:r>
        <w:rPr>
          <w:color w:val="auto"/>
          <w:sz w:val="21"/>
        </w:rPr>
        <w:t xml:space="preserve"> </w:t>
      </w:r>
    </w:p>
    <w:p>
      <w:pPr>
        <w:pStyle w:val="8"/>
        <w:rPr>
          <w:color w:val="auto"/>
          <w:sz w:val="22"/>
        </w:rPr>
      </w:pPr>
    </w:p>
    <w:p>
      <w:pPr>
        <w:pStyle w:val="37"/>
        <w:numPr>
          <w:ilvl w:val="0"/>
          <w:numId w:val="22"/>
        </w:numPr>
        <w:tabs>
          <w:tab w:val="left" w:pos="639"/>
        </w:tabs>
        <w:spacing w:before="184"/>
        <w:ind w:left="638" w:hanging="427"/>
        <w:rPr>
          <w:rFonts w:ascii="Cambria" w:eastAsia="Cambria"/>
          <w:color w:val="auto"/>
        </w:rPr>
      </w:pPr>
      <w:bookmarkStart w:id="131" w:name="5._设计"/>
      <w:bookmarkEnd w:id="131"/>
      <w:r>
        <w:rPr>
          <w:color w:val="auto"/>
        </w:rPr>
        <w:t>设计</w:t>
      </w:r>
    </w:p>
    <w:p>
      <w:pPr>
        <w:pStyle w:val="8"/>
        <w:spacing w:before="11"/>
        <w:rPr>
          <w:b/>
          <w:color w:val="auto"/>
          <w:sz w:val="34"/>
        </w:rPr>
      </w:pPr>
    </w:p>
    <w:p>
      <w:pPr>
        <w:pStyle w:val="41"/>
        <w:numPr>
          <w:ilvl w:val="1"/>
          <w:numId w:val="22"/>
        </w:numPr>
        <w:tabs>
          <w:tab w:val="left" w:pos="634"/>
        </w:tabs>
        <w:spacing w:before="1"/>
        <w:ind w:left="633" w:hanging="422"/>
        <w:rPr>
          <w:rFonts w:ascii="Times New Roman" w:eastAsia="Times New Roman"/>
          <w:color w:val="auto"/>
        </w:rPr>
      </w:pPr>
      <w:bookmarkStart w:id="132" w:name="5.1_承包人的设计义务"/>
      <w:bookmarkEnd w:id="132"/>
      <w:r>
        <w:rPr>
          <w:color w:val="auto"/>
        </w:rPr>
        <w:t>承包人的设计义务</w:t>
      </w:r>
    </w:p>
    <w:p>
      <w:pPr>
        <w:pStyle w:val="44"/>
        <w:numPr>
          <w:ilvl w:val="2"/>
          <w:numId w:val="22"/>
        </w:numPr>
        <w:tabs>
          <w:tab w:val="left" w:pos="1057"/>
        </w:tabs>
        <w:spacing w:before="181"/>
        <w:ind w:left="1056" w:hanging="424"/>
        <w:rPr>
          <w:color w:val="auto"/>
          <w:sz w:val="21"/>
        </w:rPr>
      </w:pPr>
      <w:r>
        <w:rPr>
          <w:color w:val="auto"/>
          <w:spacing w:val="-3"/>
          <w:sz w:val="21"/>
        </w:rPr>
        <w:t>设计义务的一般要求</w:t>
      </w:r>
      <w:r>
        <w:rPr>
          <w:color w:val="auto"/>
          <w:sz w:val="21"/>
        </w:rPr>
        <w:t xml:space="preserve"> </w:t>
      </w:r>
    </w:p>
    <w:p>
      <w:pPr>
        <w:pStyle w:val="8"/>
        <w:spacing w:before="6"/>
        <w:rPr>
          <w:color w:val="auto"/>
          <w:sz w:val="15"/>
        </w:rPr>
      </w:pPr>
    </w:p>
    <w:p>
      <w:pPr>
        <w:pStyle w:val="8"/>
        <w:ind w:left="633"/>
        <w:rPr>
          <w:color w:val="auto"/>
        </w:rPr>
      </w:pPr>
      <w:r>
        <w:rPr>
          <w:color w:val="auto"/>
        </w:rPr>
        <w:t xml:space="preserve">承包人应按照法律规定，以及国家、行业和地方的规范和标准完成设计工作，并符合发包人要求。 </w:t>
      </w:r>
    </w:p>
    <w:p>
      <w:pPr>
        <w:pStyle w:val="8"/>
        <w:spacing w:before="7"/>
        <w:rPr>
          <w:color w:val="auto"/>
          <w:sz w:val="15"/>
        </w:rPr>
      </w:pPr>
    </w:p>
    <w:p>
      <w:pPr>
        <w:pStyle w:val="44"/>
        <w:numPr>
          <w:ilvl w:val="2"/>
          <w:numId w:val="22"/>
        </w:numPr>
        <w:tabs>
          <w:tab w:val="left" w:pos="1057"/>
        </w:tabs>
        <w:spacing w:before="1"/>
        <w:ind w:left="1056" w:hanging="424"/>
        <w:rPr>
          <w:color w:val="auto"/>
          <w:sz w:val="21"/>
        </w:rPr>
      </w:pPr>
      <w:r>
        <w:rPr>
          <w:color w:val="auto"/>
          <w:spacing w:val="-3"/>
          <w:sz w:val="21"/>
        </w:rPr>
        <w:t>法律和标准的变化</w:t>
      </w:r>
      <w:r>
        <w:rPr>
          <w:color w:val="auto"/>
          <w:sz w:val="21"/>
        </w:rPr>
        <w:t xml:space="preserve"> </w:t>
      </w:r>
    </w:p>
    <w:p>
      <w:pPr>
        <w:pStyle w:val="8"/>
        <w:spacing w:before="6"/>
        <w:rPr>
          <w:color w:val="auto"/>
          <w:sz w:val="15"/>
        </w:rPr>
      </w:pPr>
    </w:p>
    <w:p>
      <w:pPr>
        <w:pStyle w:val="8"/>
        <w:spacing w:line="417" w:lineRule="auto"/>
        <w:ind w:left="212" w:right="321" w:firstLine="420"/>
        <w:rPr>
          <w:color w:val="auto"/>
        </w:rPr>
      </w:pPr>
      <w:r>
        <w:rPr>
          <w:color w:val="auto"/>
          <w:spacing w:val="-12"/>
        </w:rPr>
        <w:t xml:space="preserve">除合同另有约定外，承包人完成设计工作所应遵守的法律规定，以及国家、行业和地方的规范和标准， </w:t>
      </w:r>
      <w:r>
        <w:rPr>
          <w:color w:val="auto"/>
          <w:spacing w:val="-8"/>
        </w:rPr>
        <w:t>均应视为在基准日适用的版本。基准日之后，前述版本发生重大变化，或者有新的法律，以及国家、行业</w:t>
      </w:r>
      <w:r>
        <w:rPr>
          <w:color w:val="auto"/>
          <w:spacing w:val="-7"/>
        </w:rPr>
        <w:t>和地方的规范和标准实施的，承包人应向发包人或发包人委托的监理人提出遵守新规定的建议。发包人或</w:t>
      </w:r>
      <w:r>
        <w:rPr>
          <w:color w:val="auto"/>
          <w:spacing w:val="-8"/>
        </w:rPr>
        <w:t xml:space="preserve">其委托的监理人应在收到建议后 </w:t>
      </w:r>
      <w:r>
        <w:rPr>
          <w:color w:val="auto"/>
        </w:rPr>
        <w:t>7</w:t>
      </w:r>
      <w:r>
        <w:rPr>
          <w:color w:val="auto"/>
          <w:spacing w:val="-10"/>
        </w:rPr>
        <w:t xml:space="preserve"> 天内发出是否遵守新规定的指示。发包人或其委托的监理人指示遵守新</w:t>
      </w:r>
    </w:p>
    <w:p>
      <w:pPr>
        <w:pStyle w:val="8"/>
        <w:spacing w:line="268" w:lineRule="exact"/>
        <w:ind w:left="212"/>
        <w:rPr>
          <w:color w:val="auto"/>
        </w:rPr>
      </w:pPr>
      <w:r>
        <w:rPr>
          <w:color w:val="auto"/>
        </w:rPr>
        <w:t xml:space="preserve">规定的，按照第 </w:t>
      </w:r>
      <w:r>
        <w:rPr>
          <w:rFonts w:ascii="Times New Roman" w:eastAsia="Times New Roman"/>
          <w:color w:val="auto"/>
        </w:rPr>
        <w:t xml:space="preserve">15 </w:t>
      </w:r>
      <w:r>
        <w:rPr>
          <w:color w:val="auto"/>
        </w:rPr>
        <w:t xml:space="preserve">条或第 </w:t>
      </w:r>
      <w:r>
        <w:rPr>
          <w:rFonts w:ascii="Times New Roman" w:eastAsia="Times New Roman"/>
          <w:color w:val="auto"/>
        </w:rPr>
        <w:t xml:space="preserve">16.2 </w:t>
      </w:r>
      <w:r>
        <w:rPr>
          <w:color w:val="auto"/>
        </w:rPr>
        <w:t xml:space="preserve">款约定执行。 </w:t>
      </w:r>
    </w:p>
    <w:p>
      <w:pPr>
        <w:pStyle w:val="41"/>
        <w:numPr>
          <w:ilvl w:val="1"/>
          <w:numId w:val="22"/>
        </w:numPr>
        <w:tabs>
          <w:tab w:val="left" w:pos="634"/>
        </w:tabs>
        <w:spacing w:before="179"/>
        <w:ind w:left="633" w:hanging="422"/>
        <w:rPr>
          <w:rFonts w:ascii="Times New Roman" w:eastAsia="Times New Roman"/>
          <w:color w:val="auto"/>
        </w:rPr>
      </w:pPr>
      <w:bookmarkStart w:id="133" w:name="5.2_承包人设计进度计划"/>
      <w:bookmarkEnd w:id="133"/>
      <w:r>
        <w:rPr>
          <w:color w:val="auto"/>
        </w:rPr>
        <w:t>承包人设计进度计划</w:t>
      </w:r>
    </w:p>
    <w:p>
      <w:pPr>
        <w:pStyle w:val="8"/>
        <w:spacing w:before="181" w:line="415" w:lineRule="auto"/>
        <w:ind w:left="212" w:right="426" w:firstLine="420"/>
        <w:rPr>
          <w:color w:val="auto"/>
        </w:rPr>
      </w:pPr>
      <w:r>
        <w:rPr>
          <w:color w:val="auto"/>
          <w:spacing w:val="-6"/>
        </w:rPr>
        <w:t>承包人应按照发包人要求，在合同进度计划中专门列出设计进度计划，报发包人批准后执行。承包人</w:t>
      </w:r>
      <w:r>
        <w:rPr>
          <w:color w:val="auto"/>
          <w:spacing w:val="-4"/>
        </w:rPr>
        <w:t xml:space="preserve">需按照经批准后的计划开展设计工作。 </w:t>
      </w:r>
    </w:p>
    <w:p>
      <w:pPr>
        <w:pStyle w:val="8"/>
        <w:spacing w:before="3" w:line="417" w:lineRule="auto"/>
        <w:ind w:left="212" w:right="355" w:firstLine="420"/>
        <w:rPr>
          <w:color w:val="auto"/>
        </w:rPr>
      </w:pPr>
      <w:r>
        <w:rPr>
          <w:color w:val="auto"/>
        </w:rPr>
        <w:t xml:space="preserve">因承包人原因影响设计进度的，按第 </w:t>
      </w:r>
      <w:r>
        <w:rPr>
          <w:rFonts w:ascii="Times New Roman" w:eastAsia="Times New Roman"/>
          <w:color w:val="auto"/>
        </w:rPr>
        <w:t xml:space="preserve">11.5 </w:t>
      </w:r>
      <w:r>
        <w:rPr>
          <w:color w:val="auto"/>
        </w:rPr>
        <w:t xml:space="preserve">款的约定执行。因发包人原因影响设计进度的，按第 </w:t>
      </w:r>
      <w:r>
        <w:rPr>
          <w:rFonts w:ascii="Times New Roman" w:eastAsia="Times New Roman"/>
          <w:color w:val="auto"/>
        </w:rPr>
        <w:t xml:space="preserve">15 </w:t>
      </w:r>
      <w:r>
        <w:rPr>
          <w:color w:val="auto"/>
        </w:rPr>
        <w:t xml:space="preserve">条变更处理。 </w:t>
      </w:r>
    </w:p>
    <w:p>
      <w:pPr>
        <w:pStyle w:val="8"/>
        <w:spacing w:line="417" w:lineRule="auto"/>
        <w:ind w:left="212" w:right="428" w:firstLine="420"/>
        <w:rPr>
          <w:color w:val="auto"/>
        </w:rPr>
      </w:pPr>
      <w:r>
        <w:rPr>
          <w:color w:val="auto"/>
          <w:spacing w:val="-5"/>
        </w:rPr>
        <w:t xml:space="preserve">发包人或其委托的监理人有权要求承包人根据第 </w:t>
      </w:r>
      <w:r>
        <w:rPr>
          <w:rFonts w:ascii="Times New Roman" w:eastAsia="Times New Roman"/>
          <w:color w:val="auto"/>
          <w:spacing w:val="-3"/>
        </w:rPr>
        <w:t xml:space="preserve">11.5 </w:t>
      </w:r>
      <w:r>
        <w:rPr>
          <w:color w:val="auto"/>
          <w:spacing w:val="-10"/>
        </w:rPr>
        <w:t>款提交修正的进度计划、增加投入资源并加快设</w:t>
      </w:r>
      <w:r>
        <w:rPr>
          <w:color w:val="auto"/>
          <w:spacing w:val="-6"/>
        </w:rPr>
        <w:t xml:space="preserve">计进度。 </w:t>
      </w:r>
    </w:p>
    <w:p>
      <w:pPr>
        <w:pStyle w:val="41"/>
        <w:numPr>
          <w:ilvl w:val="1"/>
          <w:numId w:val="22"/>
        </w:numPr>
        <w:tabs>
          <w:tab w:val="left" w:pos="634"/>
        </w:tabs>
        <w:spacing w:line="287" w:lineRule="exact"/>
        <w:ind w:left="633" w:hanging="422"/>
        <w:rPr>
          <w:rFonts w:ascii="Times New Roman" w:eastAsia="Times New Roman"/>
          <w:color w:val="auto"/>
        </w:rPr>
      </w:pPr>
      <w:bookmarkStart w:id="134" w:name="5.3_设计审查"/>
      <w:bookmarkEnd w:id="134"/>
      <w:r>
        <w:rPr>
          <w:color w:val="auto"/>
        </w:rPr>
        <w:t>设计审查</w:t>
      </w:r>
    </w:p>
    <w:p>
      <w:pPr>
        <w:pStyle w:val="44"/>
        <w:numPr>
          <w:ilvl w:val="2"/>
          <w:numId w:val="22"/>
        </w:numPr>
        <w:tabs>
          <w:tab w:val="left" w:pos="1159"/>
        </w:tabs>
        <w:spacing w:before="180"/>
        <w:ind w:left="1158" w:hanging="526"/>
        <w:jc w:val="both"/>
        <w:rPr>
          <w:color w:val="auto"/>
          <w:sz w:val="21"/>
        </w:rPr>
      </w:pPr>
      <w:r>
        <w:rPr>
          <w:color w:val="auto"/>
          <w:spacing w:val="-3"/>
          <w:sz w:val="21"/>
        </w:rPr>
        <w:t>承包人的设计文件应报发包人审查同意。审查的范围和内容在发包人要求中约定。</w:t>
      </w:r>
      <w:r>
        <w:rPr>
          <w:color w:val="auto"/>
          <w:sz w:val="21"/>
        </w:rPr>
        <w:t xml:space="preserve"> </w:t>
      </w:r>
    </w:p>
    <w:p>
      <w:pPr>
        <w:pStyle w:val="8"/>
        <w:spacing w:before="8"/>
        <w:rPr>
          <w:color w:val="auto"/>
          <w:sz w:val="15"/>
        </w:rPr>
      </w:pPr>
    </w:p>
    <w:p>
      <w:pPr>
        <w:pStyle w:val="8"/>
        <w:spacing w:line="417" w:lineRule="auto"/>
        <w:ind w:left="212" w:right="426" w:firstLine="420"/>
        <w:jc w:val="both"/>
        <w:rPr>
          <w:color w:val="auto"/>
        </w:rPr>
      </w:pPr>
      <w:r>
        <w:rPr>
          <w:color w:val="auto"/>
          <w:spacing w:val="-6"/>
        </w:rPr>
        <w:t>除合同另有约定外，自监理人收到承包人的设计文件以及承包人的通知之日起，发包人对承包人的设</w:t>
      </w:r>
      <w:r>
        <w:rPr>
          <w:color w:val="auto"/>
          <w:spacing w:val="-3"/>
        </w:rPr>
        <w:t xml:space="preserve">计文件审查期不超过 </w:t>
      </w:r>
      <w:r>
        <w:rPr>
          <w:color w:val="auto"/>
        </w:rPr>
        <w:t>21</w:t>
      </w:r>
      <w:r>
        <w:rPr>
          <w:color w:val="auto"/>
          <w:spacing w:val="-3"/>
        </w:rPr>
        <w:t xml:space="preserve"> 天。承包人的设计文件对于合同约定有偏离的，应在通知中说明。承包人需要修</w:t>
      </w:r>
      <w:r>
        <w:rPr>
          <w:color w:val="auto"/>
          <w:spacing w:val="-6"/>
        </w:rPr>
        <w:t xml:space="preserve">改已提交的承包人文件的，应立即通知监理人，并向监理人提交修改后的承包人的设计文件，审查期重新起算。 </w:t>
      </w:r>
    </w:p>
    <w:p>
      <w:pPr>
        <w:pStyle w:val="8"/>
        <w:spacing w:line="417" w:lineRule="auto"/>
        <w:ind w:left="212" w:right="323" w:firstLine="420"/>
        <w:rPr>
          <w:color w:val="auto"/>
        </w:rPr>
      </w:pPr>
      <w:r>
        <w:rPr>
          <w:color w:val="auto"/>
          <w:spacing w:val="-10"/>
        </w:rPr>
        <w:t>发包人不同意设计文件的，应通过监理人以书面形式通知承包人，并说明不符合合同要求的具体内容。</w:t>
      </w:r>
      <w:r>
        <w:rPr>
          <w:color w:val="auto"/>
          <w:spacing w:val="-5"/>
        </w:rPr>
        <w:t xml:space="preserve">承包人应根据监理人的书面说明，对承包人文件进行修改后重新报送发包人审查，审查期重新起算。 </w:t>
      </w:r>
    </w:p>
    <w:p>
      <w:pPr>
        <w:spacing w:line="417" w:lineRule="auto"/>
        <w:rPr>
          <w:color w:val="auto"/>
        </w:rPr>
        <w:sectPr>
          <w:pgSz w:w="11910" w:h="16840"/>
          <w:pgMar w:top="1560" w:right="700" w:bottom="1180" w:left="920" w:header="0" w:footer="995" w:gutter="0"/>
          <w:cols w:space="720" w:num="1"/>
        </w:sectPr>
      </w:pPr>
    </w:p>
    <w:p>
      <w:pPr>
        <w:pStyle w:val="8"/>
        <w:spacing w:before="45" w:line="417" w:lineRule="auto"/>
        <w:ind w:left="212" w:right="426" w:firstLine="420"/>
        <w:rPr>
          <w:color w:val="auto"/>
        </w:rPr>
      </w:pPr>
      <w:r>
        <w:rPr>
          <w:color w:val="auto"/>
          <w:spacing w:val="-5"/>
        </w:rPr>
        <w:t>合同约定的审查期满，发包人没有做出审查结论也没有提出异议的，视为承包人的设计文件已获发包</w:t>
      </w:r>
      <w:r>
        <w:rPr>
          <w:color w:val="auto"/>
          <w:spacing w:val="-4"/>
        </w:rPr>
        <w:t xml:space="preserve">人同意。 </w:t>
      </w:r>
    </w:p>
    <w:p>
      <w:pPr>
        <w:pStyle w:val="44"/>
        <w:numPr>
          <w:ilvl w:val="2"/>
          <w:numId w:val="22"/>
        </w:numPr>
        <w:tabs>
          <w:tab w:val="left" w:pos="1162"/>
        </w:tabs>
        <w:spacing w:line="417" w:lineRule="auto"/>
        <w:ind w:left="212" w:right="432" w:firstLine="420"/>
        <w:rPr>
          <w:color w:val="auto"/>
          <w:sz w:val="21"/>
        </w:rPr>
      </w:pPr>
      <w:r>
        <w:rPr>
          <w:color w:val="auto"/>
          <w:spacing w:val="-1"/>
          <w:sz w:val="21"/>
        </w:rPr>
        <w:t>承包人的设计文件不需要政府有关部门审查或批准的，承包人应当严格按照经发包人审查同意</w:t>
      </w:r>
      <w:r>
        <w:rPr>
          <w:color w:val="auto"/>
          <w:spacing w:val="-3"/>
          <w:sz w:val="21"/>
        </w:rPr>
        <w:t xml:space="preserve">的设计文件设计和实施工程。 </w:t>
      </w:r>
    </w:p>
    <w:p>
      <w:pPr>
        <w:pStyle w:val="44"/>
        <w:numPr>
          <w:ilvl w:val="2"/>
          <w:numId w:val="22"/>
        </w:numPr>
        <w:tabs>
          <w:tab w:val="left" w:pos="1159"/>
        </w:tabs>
        <w:spacing w:line="417" w:lineRule="auto"/>
        <w:ind w:left="212" w:right="426" w:firstLine="420"/>
        <w:rPr>
          <w:color w:val="auto"/>
          <w:sz w:val="21"/>
        </w:rPr>
      </w:pPr>
      <w:r>
        <w:rPr>
          <w:color w:val="auto"/>
          <w:spacing w:val="-3"/>
          <w:sz w:val="21"/>
        </w:rPr>
        <w:t xml:space="preserve">设计文件需政府有关部门审查或批准的，发包人应在审查同意承包人的设计文件后 </w:t>
      </w:r>
      <w:r>
        <w:rPr>
          <w:color w:val="auto"/>
          <w:sz w:val="21"/>
        </w:rPr>
        <w:t>7 天内，向</w:t>
      </w:r>
      <w:r>
        <w:rPr>
          <w:color w:val="auto"/>
          <w:spacing w:val="-3"/>
          <w:sz w:val="21"/>
        </w:rPr>
        <w:t>政府有关部门报送设计文件，承包人应予以协助。</w:t>
      </w:r>
      <w:r>
        <w:rPr>
          <w:color w:val="auto"/>
          <w:sz w:val="21"/>
        </w:rPr>
        <w:t xml:space="preserve"> </w:t>
      </w:r>
    </w:p>
    <w:p>
      <w:pPr>
        <w:pStyle w:val="8"/>
        <w:spacing w:line="417" w:lineRule="auto"/>
        <w:ind w:left="212" w:right="426" w:firstLine="420"/>
        <w:jc w:val="both"/>
        <w:rPr>
          <w:color w:val="auto"/>
        </w:rPr>
      </w:pPr>
      <w:r>
        <w:rPr>
          <w:color w:val="auto"/>
          <w:spacing w:val="-5"/>
        </w:rPr>
        <w:t>对于政府有关部门的审查意见，不需要修改发包人要求的，承包人需按该审查意见修改承包人的设计</w:t>
      </w:r>
      <w:r>
        <w:rPr>
          <w:color w:val="auto"/>
          <w:spacing w:val="-7"/>
        </w:rPr>
        <w:t>文件；需要修改发包人要求的，发包人应重新提出发包人要求，承包人应根据新提出的发包人要求修改承</w:t>
      </w:r>
      <w:r>
        <w:rPr>
          <w:color w:val="auto"/>
          <w:spacing w:val="-9"/>
        </w:rPr>
        <w:t xml:space="preserve">包人文件。上述情形还应适用第 </w:t>
      </w:r>
      <w:r>
        <w:rPr>
          <w:color w:val="auto"/>
        </w:rPr>
        <w:t>15</w:t>
      </w:r>
      <w:r>
        <w:rPr>
          <w:color w:val="auto"/>
          <w:spacing w:val="-23"/>
        </w:rPr>
        <w:t xml:space="preserve"> 条、第 </w:t>
      </w:r>
      <w:r>
        <w:rPr>
          <w:rFonts w:ascii="Times New Roman" w:eastAsia="Times New Roman"/>
          <w:color w:val="auto"/>
        </w:rPr>
        <w:t xml:space="preserve">1.13 </w:t>
      </w:r>
      <w:r>
        <w:rPr>
          <w:color w:val="auto"/>
          <w:spacing w:val="-3"/>
        </w:rPr>
        <w:t>款的有关约定。</w:t>
      </w:r>
      <w:r>
        <w:rPr>
          <w:color w:val="auto"/>
        </w:rPr>
        <w:t xml:space="preserve"> </w:t>
      </w:r>
    </w:p>
    <w:p>
      <w:pPr>
        <w:pStyle w:val="8"/>
        <w:ind w:left="633"/>
        <w:rPr>
          <w:color w:val="auto"/>
        </w:rPr>
      </w:pPr>
      <w:r>
        <w:rPr>
          <w:color w:val="auto"/>
        </w:rPr>
        <w:t>政府有关部门审查批准的，承包人应当严格按照批准后的承包人的设计文件设计和实施工程。</w:t>
      </w:r>
    </w:p>
    <w:p>
      <w:pPr>
        <w:pStyle w:val="41"/>
        <w:numPr>
          <w:ilvl w:val="1"/>
          <w:numId w:val="22"/>
        </w:numPr>
        <w:tabs>
          <w:tab w:val="left" w:pos="634"/>
        </w:tabs>
        <w:spacing w:before="178"/>
        <w:ind w:left="633" w:hanging="422"/>
        <w:rPr>
          <w:rFonts w:ascii="Times New Roman" w:eastAsia="Times New Roman"/>
          <w:color w:val="auto"/>
        </w:rPr>
      </w:pPr>
      <w:bookmarkStart w:id="135" w:name="5.4_培训"/>
      <w:bookmarkEnd w:id="135"/>
      <w:r>
        <w:rPr>
          <w:color w:val="auto"/>
        </w:rPr>
        <w:t>培训</w:t>
      </w:r>
    </w:p>
    <w:p>
      <w:pPr>
        <w:pStyle w:val="8"/>
        <w:spacing w:before="181" w:line="417" w:lineRule="auto"/>
        <w:ind w:left="212" w:right="426" w:firstLine="420"/>
        <w:jc w:val="both"/>
        <w:rPr>
          <w:color w:val="auto"/>
        </w:rPr>
      </w:pPr>
      <w:r>
        <w:rPr>
          <w:color w:val="auto"/>
          <w:spacing w:val="-5"/>
        </w:rPr>
        <w:t>承包人应按照发包人要求，对发包人的人员进行工程操作和维修方面的培训。合同约定接收之前进行</w:t>
      </w:r>
      <w:r>
        <w:rPr>
          <w:color w:val="auto"/>
          <w:spacing w:val="-11"/>
        </w:rPr>
        <w:t xml:space="preserve">培训的，应在第 </w:t>
      </w:r>
      <w:r>
        <w:rPr>
          <w:rFonts w:ascii="Times New Roman" w:eastAsia="Times New Roman"/>
          <w:color w:val="auto"/>
        </w:rPr>
        <w:t xml:space="preserve">18.3 </w:t>
      </w:r>
      <w:r>
        <w:rPr>
          <w:color w:val="auto"/>
          <w:spacing w:val="-3"/>
        </w:rPr>
        <w:t xml:space="preserve">款约定的竣工验收前完成培训。 </w:t>
      </w:r>
    </w:p>
    <w:p>
      <w:pPr>
        <w:pStyle w:val="41"/>
        <w:numPr>
          <w:ilvl w:val="1"/>
          <w:numId w:val="22"/>
        </w:numPr>
        <w:tabs>
          <w:tab w:val="left" w:pos="634"/>
        </w:tabs>
        <w:spacing w:line="287" w:lineRule="exact"/>
        <w:ind w:left="633" w:hanging="422"/>
        <w:rPr>
          <w:rFonts w:ascii="Times New Roman" w:eastAsia="Times New Roman"/>
          <w:color w:val="auto"/>
        </w:rPr>
      </w:pPr>
      <w:bookmarkStart w:id="136" w:name="5.5_竣工文件"/>
      <w:bookmarkEnd w:id="136"/>
      <w:r>
        <w:rPr>
          <w:color w:val="auto"/>
        </w:rPr>
        <w:t>竣工文件</w:t>
      </w:r>
    </w:p>
    <w:p>
      <w:pPr>
        <w:pStyle w:val="44"/>
        <w:numPr>
          <w:ilvl w:val="2"/>
          <w:numId w:val="22"/>
        </w:numPr>
        <w:tabs>
          <w:tab w:val="left" w:pos="1162"/>
        </w:tabs>
        <w:spacing w:before="181" w:line="417" w:lineRule="auto"/>
        <w:ind w:left="212" w:right="426" w:firstLine="420"/>
        <w:jc w:val="both"/>
        <w:rPr>
          <w:color w:val="auto"/>
          <w:sz w:val="21"/>
        </w:rPr>
      </w:pPr>
      <w:r>
        <w:rPr>
          <w:color w:val="auto"/>
          <w:sz w:val="21"/>
        </w:rPr>
        <w:t>承包人应编制并及时更新反映工程实施结果的竣工记录，如实记载竣工工程的确切位置、尺寸</w:t>
      </w:r>
      <w:r>
        <w:rPr>
          <w:color w:val="auto"/>
          <w:spacing w:val="-6"/>
          <w:sz w:val="21"/>
        </w:rPr>
        <w:t>和已实施工作的详细说明。竣工记录应保存在施工场地，并在竣工试验开始前，按照专用合同条款约定的</w:t>
      </w:r>
      <w:r>
        <w:rPr>
          <w:color w:val="auto"/>
          <w:spacing w:val="-4"/>
          <w:sz w:val="21"/>
        </w:rPr>
        <w:t>份数提交给监理人。</w:t>
      </w:r>
      <w:r>
        <w:rPr>
          <w:color w:val="auto"/>
          <w:sz w:val="21"/>
        </w:rPr>
        <w:t xml:space="preserve"> </w:t>
      </w:r>
    </w:p>
    <w:p>
      <w:pPr>
        <w:pStyle w:val="44"/>
        <w:numPr>
          <w:ilvl w:val="2"/>
          <w:numId w:val="22"/>
        </w:numPr>
        <w:tabs>
          <w:tab w:val="left" w:pos="1159"/>
        </w:tabs>
        <w:spacing w:line="417" w:lineRule="auto"/>
        <w:ind w:left="212" w:right="323" w:firstLine="420"/>
        <w:jc w:val="both"/>
        <w:rPr>
          <w:color w:val="auto"/>
          <w:sz w:val="21"/>
        </w:rPr>
      </w:pPr>
      <w:r>
        <w:rPr>
          <w:color w:val="auto"/>
          <w:spacing w:val="-5"/>
          <w:sz w:val="21"/>
        </w:rPr>
        <w:t xml:space="preserve">在颁发工程接收证书之前，承包人应按照发包人要求的份数和形式向监理人提交相应竣工图纸， </w:t>
      </w:r>
      <w:r>
        <w:rPr>
          <w:color w:val="auto"/>
          <w:spacing w:val="-6"/>
          <w:sz w:val="21"/>
        </w:rPr>
        <w:t xml:space="preserve">并取得监理人对尺寸、参照系统及其他有关细节的认可。监理人应按照第 </w:t>
      </w:r>
      <w:r>
        <w:rPr>
          <w:color w:val="auto"/>
          <w:sz w:val="21"/>
        </w:rPr>
        <w:t>5.3</w:t>
      </w:r>
      <w:r>
        <w:rPr>
          <w:color w:val="auto"/>
          <w:spacing w:val="-8"/>
          <w:sz w:val="21"/>
        </w:rPr>
        <w:t xml:space="preserve"> 款的约定进行审查。</w:t>
      </w:r>
      <w:r>
        <w:rPr>
          <w:color w:val="auto"/>
          <w:sz w:val="21"/>
        </w:rPr>
        <w:t xml:space="preserve"> </w:t>
      </w:r>
    </w:p>
    <w:p>
      <w:pPr>
        <w:pStyle w:val="44"/>
        <w:numPr>
          <w:ilvl w:val="2"/>
          <w:numId w:val="22"/>
        </w:numPr>
        <w:tabs>
          <w:tab w:val="left" w:pos="1057"/>
        </w:tabs>
        <w:spacing w:line="269" w:lineRule="exact"/>
        <w:ind w:left="1056" w:hanging="424"/>
        <w:jc w:val="both"/>
        <w:rPr>
          <w:color w:val="auto"/>
          <w:sz w:val="21"/>
        </w:rPr>
      </w:pPr>
      <w:r>
        <w:rPr>
          <w:color w:val="auto"/>
          <w:spacing w:val="-6"/>
          <w:sz w:val="21"/>
        </w:rPr>
        <w:t xml:space="preserve">在监理人收到上述文件前，不应认为工程已根据第 </w:t>
      </w:r>
      <w:r>
        <w:rPr>
          <w:color w:val="auto"/>
          <w:sz w:val="21"/>
        </w:rPr>
        <w:t>18.3</w:t>
      </w:r>
      <w:r>
        <w:rPr>
          <w:color w:val="auto"/>
          <w:spacing w:val="-23"/>
          <w:sz w:val="21"/>
        </w:rPr>
        <w:t xml:space="preserve"> 款和第 </w:t>
      </w:r>
      <w:r>
        <w:rPr>
          <w:color w:val="auto"/>
          <w:sz w:val="21"/>
        </w:rPr>
        <w:t>18.5</w:t>
      </w:r>
      <w:r>
        <w:rPr>
          <w:color w:val="auto"/>
          <w:spacing w:val="-9"/>
          <w:sz w:val="21"/>
        </w:rPr>
        <w:t xml:space="preserve"> 款约定完成验收。</w:t>
      </w:r>
      <w:r>
        <w:rPr>
          <w:color w:val="auto"/>
          <w:sz w:val="21"/>
        </w:rPr>
        <w:t xml:space="preserve"> </w:t>
      </w:r>
    </w:p>
    <w:p>
      <w:pPr>
        <w:pStyle w:val="41"/>
        <w:numPr>
          <w:ilvl w:val="1"/>
          <w:numId w:val="22"/>
        </w:numPr>
        <w:tabs>
          <w:tab w:val="left" w:pos="634"/>
        </w:tabs>
        <w:spacing w:before="178"/>
        <w:ind w:left="633" w:hanging="422"/>
        <w:rPr>
          <w:rFonts w:ascii="Times New Roman" w:eastAsia="Times New Roman"/>
          <w:color w:val="auto"/>
        </w:rPr>
      </w:pPr>
      <w:bookmarkStart w:id="137" w:name="5.6_操作和维修手册"/>
      <w:bookmarkEnd w:id="137"/>
      <w:r>
        <w:rPr>
          <w:color w:val="auto"/>
        </w:rPr>
        <w:t>操作和维修手册</w:t>
      </w:r>
    </w:p>
    <w:p>
      <w:pPr>
        <w:pStyle w:val="44"/>
        <w:numPr>
          <w:ilvl w:val="2"/>
          <w:numId w:val="22"/>
        </w:numPr>
        <w:tabs>
          <w:tab w:val="left" w:pos="1162"/>
        </w:tabs>
        <w:spacing w:before="181" w:line="417" w:lineRule="auto"/>
        <w:ind w:left="212" w:right="431" w:firstLine="420"/>
        <w:rPr>
          <w:color w:val="auto"/>
          <w:sz w:val="21"/>
        </w:rPr>
      </w:pPr>
      <w:r>
        <w:rPr>
          <w:color w:val="auto"/>
          <w:spacing w:val="-1"/>
          <w:sz w:val="21"/>
        </w:rPr>
        <w:t>在竣工试验开始前，承包人应向监理人提交暂行的操作和维修手册，该手册应足够详细，以便</w:t>
      </w:r>
      <w:r>
        <w:rPr>
          <w:color w:val="auto"/>
          <w:spacing w:val="-3"/>
          <w:sz w:val="21"/>
        </w:rPr>
        <w:t>发包人能够对生产设备进行操作、维修、拆卸、重新安装、调整及修理。</w:t>
      </w:r>
      <w:r>
        <w:rPr>
          <w:color w:val="auto"/>
          <w:sz w:val="21"/>
        </w:rPr>
        <w:t xml:space="preserve"> </w:t>
      </w:r>
    </w:p>
    <w:p>
      <w:pPr>
        <w:pStyle w:val="44"/>
        <w:numPr>
          <w:ilvl w:val="2"/>
          <w:numId w:val="22"/>
        </w:numPr>
        <w:tabs>
          <w:tab w:val="left" w:pos="1162"/>
        </w:tabs>
        <w:spacing w:line="417" w:lineRule="auto"/>
        <w:ind w:left="212" w:right="432" w:firstLine="420"/>
        <w:rPr>
          <w:color w:val="auto"/>
          <w:sz w:val="21"/>
        </w:rPr>
      </w:pPr>
      <w:r>
        <w:rPr>
          <w:color w:val="auto"/>
          <w:spacing w:val="-1"/>
          <w:sz w:val="21"/>
        </w:rPr>
        <w:t>承包人应提交足够详细的最终操作和维修手册，以及在发包人要求中明确的相关操作和维修手</w:t>
      </w:r>
      <w:r>
        <w:rPr>
          <w:color w:val="auto"/>
          <w:spacing w:val="-5"/>
          <w:sz w:val="21"/>
        </w:rPr>
        <w:t xml:space="preserve">册。在监理人收到上述文件前，不应认为工程已根据第 </w:t>
      </w:r>
      <w:r>
        <w:rPr>
          <w:rFonts w:ascii="Times New Roman" w:eastAsia="Times New Roman"/>
          <w:color w:val="auto"/>
          <w:sz w:val="21"/>
        </w:rPr>
        <w:t>18.3</w:t>
      </w:r>
      <w:r>
        <w:rPr>
          <w:rFonts w:ascii="Times New Roman" w:eastAsia="Times New Roman"/>
          <w:color w:val="auto"/>
          <w:spacing w:val="-1"/>
          <w:sz w:val="21"/>
        </w:rPr>
        <w:t xml:space="preserve"> </w:t>
      </w:r>
      <w:r>
        <w:rPr>
          <w:color w:val="auto"/>
          <w:spacing w:val="-15"/>
          <w:sz w:val="21"/>
        </w:rPr>
        <w:t xml:space="preserve">款和第 </w:t>
      </w:r>
      <w:r>
        <w:rPr>
          <w:rFonts w:ascii="Times New Roman" w:eastAsia="Times New Roman"/>
          <w:color w:val="auto"/>
          <w:sz w:val="21"/>
        </w:rPr>
        <w:t>18.5</w:t>
      </w:r>
      <w:r>
        <w:rPr>
          <w:rFonts w:ascii="Times New Roman" w:eastAsia="Times New Roman"/>
          <w:color w:val="auto"/>
          <w:spacing w:val="2"/>
          <w:sz w:val="21"/>
        </w:rPr>
        <w:t xml:space="preserve"> </w:t>
      </w:r>
      <w:r>
        <w:rPr>
          <w:color w:val="auto"/>
          <w:spacing w:val="-3"/>
          <w:sz w:val="21"/>
        </w:rPr>
        <w:t>款约定完成验收。</w:t>
      </w:r>
      <w:r>
        <w:rPr>
          <w:color w:val="auto"/>
          <w:sz w:val="21"/>
        </w:rPr>
        <w:t xml:space="preserve"> </w:t>
      </w:r>
    </w:p>
    <w:p>
      <w:pPr>
        <w:pStyle w:val="41"/>
        <w:numPr>
          <w:ilvl w:val="1"/>
          <w:numId w:val="22"/>
        </w:numPr>
        <w:tabs>
          <w:tab w:val="left" w:pos="634"/>
        </w:tabs>
        <w:spacing w:line="287" w:lineRule="exact"/>
        <w:ind w:left="633" w:hanging="422"/>
        <w:rPr>
          <w:rFonts w:ascii="Times New Roman" w:eastAsia="Times New Roman"/>
          <w:color w:val="auto"/>
        </w:rPr>
      </w:pPr>
      <w:bookmarkStart w:id="138" w:name="5.7_承包人文件错误"/>
      <w:bookmarkEnd w:id="138"/>
      <w:r>
        <w:rPr>
          <w:color w:val="auto"/>
        </w:rPr>
        <w:t>承包人文件错误</w:t>
      </w:r>
    </w:p>
    <w:p>
      <w:pPr>
        <w:pStyle w:val="8"/>
        <w:spacing w:before="181" w:line="417" w:lineRule="auto"/>
        <w:ind w:left="212" w:right="426" w:firstLine="420"/>
        <w:jc w:val="both"/>
        <w:rPr>
          <w:color w:val="auto"/>
        </w:rPr>
      </w:pPr>
      <w:r>
        <w:rPr>
          <w:color w:val="auto"/>
          <w:spacing w:val="-7"/>
        </w:rPr>
        <w:t>承包人文件存在错误、遗漏、含混、矛盾、不充分之处或其他缺陷，无论承包人是否根据本款获得了</w:t>
      </w:r>
      <w:r>
        <w:rPr>
          <w:color w:val="auto"/>
          <w:spacing w:val="-12"/>
        </w:rPr>
        <w:t xml:space="preserve">批准，承包人均应自费对前述问题带来的缺陷和工程问题进行改正。第 </w:t>
      </w:r>
      <w:r>
        <w:rPr>
          <w:rFonts w:ascii="Times New Roman" w:eastAsia="Times New Roman"/>
          <w:color w:val="auto"/>
        </w:rPr>
        <w:t xml:space="preserve">1.13 </w:t>
      </w:r>
      <w:r>
        <w:rPr>
          <w:color w:val="auto"/>
          <w:spacing w:val="-3"/>
        </w:rPr>
        <w:t>款发包人要求的错误导致承包人文件错误、遗漏、含混、矛盾、不充分或其他缺陷的除外。</w:t>
      </w:r>
      <w:r>
        <w:rPr>
          <w:color w:val="auto"/>
        </w:rPr>
        <w:t xml:space="preserve"> </w:t>
      </w:r>
    </w:p>
    <w:p>
      <w:pPr>
        <w:spacing w:line="417" w:lineRule="auto"/>
        <w:jc w:val="both"/>
        <w:rPr>
          <w:color w:val="auto"/>
        </w:rPr>
        <w:sectPr>
          <w:footerReference r:id="rId27" w:type="default"/>
          <w:pgSz w:w="11910" w:h="16840"/>
          <w:pgMar w:top="1560" w:right="700" w:bottom="1180" w:left="920" w:header="0" w:footer="995" w:gutter="0"/>
          <w:cols w:space="720" w:num="1"/>
        </w:sectPr>
      </w:pPr>
    </w:p>
    <w:p>
      <w:pPr>
        <w:pStyle w:val="37"/>
        <w:numPr>
          <w:ilvl w:val="0"/>
          <w:numId w:val="22"/>
        </w:numPr>
        <w:tabs>
          <w:tab w:val="left" w:pos="639"/>
        </w:tabs>
        <w:spacing w:before="73"/>
        <w:ind w:left="638" w:hanging="427"/>
        <w:rPr>
          <w:rFonts w:ascii="Cambria" w:eastAsia="Cambria"/>
          <w:color w:val="auto"/>
        </w:rPr>
      </w:pPr>
      <w:bookmarkStart w:id="139" w:name="6._材料和工程设备"/>
      <w:bookmarkEnd w:id="139"/>
      <w:r>
        <w:rPr>
          <w:color w:val="auto"/>
        </w:rPr>
        <w:t>材料和工程设备</w:t>
      </w:r>
    </w:p>
    <w:p>
      <w:pPr>
        <w:pStyle w:val="8"/>
        <w:spacing w:before="9"/>
        <w:rPr>
          <w:b/>
          <w:color w:val="auto"/>
          <w:sz w:val="34"/>
        </w:rPr>
      </w:pPr>
    </w:p>
    <w:p>
      <w:pPr>
        <w:pStyle w:val="41"/>
        <w:numPr>
          <w:ilvl w:val="1"/>
          <w:numId w:val="22"/>
        </w:numPr>
        <w:tabs>
          <w:tab w:val="left" w:pos="634"/>
        </w:tabs>
        <w:ind w:left="633" w:hanging="422"/>
        <w:rPr>
          <w:rFonts w:ascii="Times New Roman" w:eastAsia="Times New Roman"/>
          <w:color w:val="auto"/>
        </w:rPr>
      </w:pPr>
      <w:r>
        <w:rPr>
          <w:color w:val="auto"/>
        </w:rPr>
        <w:t>承包人提供的材料和工程设备</w:t>
      </w:r>
    </w:p>
    <w:p>
      <w:pPr>
        <w:pStyle w:val="44"/>
        <w:numPr>
          <w:ilvl w:val="2"/>
          <w:numId w:val="22"/>
        </w:numPr>
        <w:tabs>
          <w:tab w:val="left" w:pos="1057"/>
        </w:tabs>
        <w:spacing w:before="181" w:line="417" w:lineRule="auto"/>
        <w:ind w:left="212" w:right="323" w:firstLine="420"/>
        <w:rPr>
          <w:color w:val="auto"/>
          <w:sz w:val="21"/>
        </w:rPr>
      </w:pPr>
      <w:r>
        <w:rPr>
          <w:color w:val="auto"/>
          <w:spacing w:val="-5"/>
          <w:sz w:val="21"/>
        </w:rPr>
        <w:t>除专用合同条款另有约定外，承包人提供的材料和工程设备均由承包人负责采购、运输和保管。</w:t>
      </w:r>
      <w:r>
        <w:rPr>
          <w:color w:val="auto"/>
          <w:spacing w:val="-4"/>
          <w:sz w:val="21"/>
        </w:rPr>
        <w:t>承包人应对其采购的材料和工程设备负责。</w:t>
      </w:r>
      <w:r>
        <w:rPr>
          <w:color w:val="auto"/>
          <w:sz w:val="21"/>
        </w:rPr>
        <w:t xml:space="preserve"> </w:t>
      </w:r>
    </w:p>
    <w:p>
      <w:pPr>
        <w:pStyle w:val="44"/>
        <w:numPr>
          <w:ilvl w:val="2"/>
          <w:numId w:val="22"/>
        </w:numPr>
        <w:tabs>
          <w:tab w:val="left" w:pos="1057"/>
        </w:tabs>
        <w:spacing w:line="417" w:lineRule="auto"/>
        <w:ind w:left="212" w:right="432" w:firstLine="420"/>
        <w:jc w:val="both"/>
        <w:rPr>
          <w:color w:val="auto"/>
          <w:sz w:val="21"/>
        </w:rPr>
      </w:pPr>
      <w:r>
        <w:rPr>
          <w:color w:val="auto"/>
          <w:spacing w:val="-1"/>
          <w:sz w:val="21"/>
        </w:rPr>
        <w:t>承包人应按专用合同条款的约定，将各项材料和工程设备的供货人及品种、技术要求、规格、</w:t>
      </w:r>
      <w:r>
        <w:rPr>
          <w:color w:val="auto"/>
          <w:sz w:val="21"/>
        </w:rPr>
        <w:t>数量和供货时间等报送监理人批准。承包人应向监理人提交其负责提供的材料和工程设备的质量证明文</w:t>
      </w:r>
      <w:r>
        <w:rPr>
          <w:color w:val="auto"/>
          <w:spacing w:val="-3"/>
          <w:sz w:val="21"/>
        </w:rPr>
        <w:t xml:space="preserve">件，并满足合同约定的质量标准。 </w:t>
      </w:r>
    </w:p>
    <w:p>
      <w:pPr>
        <w:pStyle w:val="44"/>
        <w:numPr>
          <w:ilvl w:val="2"/>
          <w:numId w:val="22"/>
        </w:numPr>
        <w:tabs>
          <w:tab w:val="left" w:pos="1162"/>
        </w:tabs>
        <w:spacing w:line="417" w:lineRule="auto"/>
        <w:ind w:left="212" w:right="426" w:firstLine="420"/>
        <w:jc w:val="both"/>
        <w:rPr>
          <w:color w:val="auto"/>
          <w:sz w:val="21"/>
        </w:rPr>
      </w:pPr>
      <w:r>
        <w:rPr>
          <w:color w:val="auto"/>
          <w:sz w:val="21"/>
        </w:rPr>
        <w:t>对承包人提供的材料和工程设备，承包人应会同监理人进行检验和交货验收，查验材料合格证</w:t>
      </w:r>
      <w:r>
        <w:rPr>
          <w:color w:val="auto"/>
          <w:spacing w:val="-6"/>
          <w:sz w:val="21"/>
        </w:rPr>
        <w:t>明和产品合格证书，并按合同约定和监理人指示，进行材料的抽样检验和工程设备的检验测试，检验和测</w:t>
      </w:r>
      <w:r>
        <w:rPr>
          <w:color w:val="auto"/>
          <w:spacing w:val="-4"/>
          <w:sz w:val="21"/>
        </w:rPr>
        <w:t>试结果应提交监理人，所需费用由承包人承担。</w:t>
      </w:r>
      <w:r>
        <w:rPr>
          <w:color w:val="auto"/>
          <w:sz w:val="21"/>
        </w:rPr>
        <w:t xml:space="preserve"> </w:t>
      </w:r>
    </w:p>
    <w:p>
      <w:pPr>
        <w:pStyle w:val="41"/>
        <w:numPr>
          <w:ilvl w:val="1"/>
          <w:numId w:val="22"/>
        </w:numPr>
        <w:tabs>
          <w:tab w:val="left" w:pos="634"/>
        </w:tabs>
        <w:spacing w:line="287" w:lineRule="exact"/>
        <w:ind w:left="633" w:hanging="422"/>
        <w:rPr>
          <w:rFonts w:ascii="Times New Roman" w:eastAsia="Times New Roman"/>
          <w:color w:val="auto"/>
        </w:rPr>
      </w:pPr>
      <w:bookmarkStart w:id="140" w:name="6.2_发包人提供的材料和工程设备（A）"/>
      <w:bookmarkEnd w:id="140"/>
      <w:r>
        <w:rPr>
          <w:color w:val="auto"/>
        </w:rPr>
        <w:t>发包人提供的材料和工程设备（</w:t>
      </w:r>
      <w:r>
        <w:rPr>
          <w:rFonts w:ascii="Times New Roman" w:eastAsia="Times New Roman"/>
          <w:color w:val="auto"/>
        </w:rPr>
        <w:t>A</w:t>
      </w:r>
      <w:r>
        <w:rPr>
          <w:color w:val="auto"/>
        </w:rPr>
        <w:t>）</w:t>
      </w:r>
    </w:p>
    <w:p>
      <w:pPr>
        <w:pStyle w:val="44"/>
        <w:numPr>
          <w:ilvl w:val="2"/>
          <w:numId w:val="22"/>
        </w:numPr>
        <w:tabs>
          <w:tab w:val="left" w:pos="1162"/>
        </w:tabs>
        <w:spacing w:before="181" w:line="417" w:lineRule="auto"/>
        <w:ind w:left="212" w:right="432" w:firstLine="420"/>
        <w:rPr>
          <w:color w:val="auto"/>
          <w:sz w:val="21"/>
        </w:rPr>
      </w:pPr>
      <w:r>
        <w:rPr>
          <w:color w:val="auto"/>
          <w:spacing w:val="-1"/>
          <w:sz w:val="21"/>
        </w:rPr>
        <w:t>专用合同条款约定发包人提供部分材料和工程设备的，应写明材料和工程设备的名称、规格、</w:t>
      </w:r>
      <w:r>
        <w:rPr>
          <w:color w:val="auto"/>
          <w:spacing w:val="-3"/>
          <w:sz w:val="21"/>
        </w:rPr>
        <w:t xml:space="preserve">数量、价格、交货方式、交货地点等。 </w:t>
      </w:r>
    </w:p>
    <w:p>
      <w:pPr>
        <w:pStyle w:val="44"/>
        <w:numPr>
          <w:ilvl w:val="2"/>
          <w:numId w:val="22"/>
        </w:numPr>
        <w:tabs>
          <w:tab w:val="left" w:pos="1057"/>
        </w:tabs>
        <w:spacing w:line="417" w:lineRule="auto"/>
        <w:ind w:left="212" w:right="432" w:firstLine="420"/>
        <w:rPr>
          <w:color w:val="auto"/>
          <w:sz w:val="21"/>
        </w:rPr>
      </w:pPr>
      <w:r>
        <w:rPr>
          <w:color w:val="auto"/>
          <w:spacing w:val="-1"/>
          <w:sz w:val="21"/>
        </w:rPr>
        <w:t>承包人应根据合同进度计划的安排，向监理人报送要求发包人交货的日期计划。发包人应按照</w:t>
      </w:r>
      <w:r>
        <w:rPr>
          <w:color w:val="auto"/>
          <w:spacing w:val="-3"/>
          <w:sz w:val="21"/>
        </w:rPr>
        <w:t>监理人与合同双方当事人商定的交货日期，向承包人提交材料和工程设备。</w:t>
      </w:r>
      <w:r>
        <w:rPr>
          <w:color w:val="auto"/>
          <w:sz w:val="21"/>
        </w:rPr>
        <w:t xml:space="preserve"> </w:t>
      </w:r>
    </w:p>
    <w:p>
      <w:pPr>
        <w:pStyle w:val="44"/>
        <w:numPr>
          <w:ilvl w:val="2"/>
          <w:numId w:val="22"/>
        </w:numPr>
        <w:tabs>
          <w:tab w:val="left" w:pos="1057"/>
        </w:tabs>
        <w:spacing w:line="417" w:lineRule="auto"/>
        <w:ind w:left="212" w:right="426" w:firstLine="420"/>
        <w:jc w:val="both"/>
        <w:rPr>
          <w:color w:val="auto"/>
          <w:sz w:val="21"/>
        </w:rPr>
      </w:pPr>
      <w:r>
        <w:rPr>
          <w:color w:val="auto"/>
          <w:spacing w:val="-4"/>
          <w:sz w:val="21"/>
        </w:rPr>
        <w:t xml:space="preserve">发包人应在材料和工程设备到货 </w:t>
      </w:r>
      <w:r>
        <w:rPr>
          <w:color w:val="auto"/>
          <w:sz w:val="21"/>
        </w:rPr>
        <w:t>7</w:t>
      </w:r>
      <w:r>
        <w:rPr>
          <w:color w:val="auto"/>
          <w:spacing w:val="-3"/>
          <w:sz w:val="21"/>
        </w:rPr>
        <w:t xml:space="preserve"> 天前通知承包人，承包人应会同监理人在约定的时间内，赴</w:t>
      </w:r>
      <w:r>
        <w:rPr>
          <w:color w:val="auto"/>
          <w:spacing w:val="-6"/>
          <w:sz w:val="21"/>
        </w:rPr>
        <w:t>交货地点共同进行验收。除专用合同条款另有约定外，发包人提供的材料和工程设备验收后，由承包人负</w:t>
      </w:r>
      <w:r>
        <w:rPr>
          <w:color w:val="auto"/>
          <w:spacing w:val="-4"/>
          <w:sz w:val="21"/>
        </w:rPr>
        <w:t>责接收、运输和保管。</w:t>
      </w:r>
    </w:p>
    <w:p>
      <w:pPr>
        <w:pStyle w:val="44"/>
        <w:numPr>
          <w:ilvl w:val="2"/>
          <w:numId w:val="22"/>
        </w:numPr>
        <w:tabs>
          <w:tab w:val="left" w:pos="1057"/>
        </w:tabs>
        <w:spacing w:line="269" w:lineRule="exact"/>
        <w:ind w:left="1056" w:hanging="424"/>
        <w:rPr>
          <w:color w:val="auto"/>
          <w:sz w:val="21"/>
        </w:rPr>
      </w:pPr>
      <w:r>
        <w:rPr>
          <w:color w:val="auto"/>
          <w:spacing w:val="-3"/>
          <w:sz w:val="21"/>
        </w:rPr>
        <w:t>发包人要求向承包人提前交货的，承包人不得拒绝，但发包人应承担承包人由此增加的费用。</w:t>
      </w:r>
      <w:r>
        <w:rPr>
          <w:color w:val="auto"/>
          <w:sz w:val="21"/>
        </w:rPr>
        <w:t xml:space="preserve"> </w:t>
      </w:r>
    </w:p>
    <w:p>
      <w:pPr>
        <w:pStyle w:val="8"/>
        <w:spacing w:before="6"/>
        <w:rPr>
          <w:color w:val="auto"/>
          <w:sz w:val="15"/>
        </w:rPr>
      </w:pPr>
    </w:p>
    <w:p>
      <w:pPr>
        <w:pStyle w:val="44"/>
        <w:numPr>
          <w:ilvl w:val="2"/>
          <w:numId w:val="22"/>
        </w:numPr>
        <w:tabs>
          <w:tab w:val="left" w:pos="1057"/>
        </w:tabs>
        <w:spacing w:before="1" w:line="417" w:lineRule="auto"/>
        <w:ind w:left="212" w:right="432" w:firstLine="420"/>
        <w:rPr>
          <w:color w:val="auto"/>
          <w:sz w:val="21"/>
        </w:rPr>
      </w:pPr>
      <w:r>
        <w:rPr>
          <w:color w:val="auto"/>
          <w:spacing w:val="-1"/>
          <w:sz w:val="21"/>
        </w:rPr>
        <w:t>承包人要求更改交货日期或地点的，应事先报请监理人批准。由于承包人要求更改交货时间或</w:t>
      </w:r>
      <w:r>
        <w:rPr>
          <w:color w:val="auto"/>
          <w:spacing w:val="-3"/>
          <w:sz w:val="21"/>
        </w:rPr>
        <w:t>地点所增加的费用和</w:t>
      </w:r>
      <w:r>
        <w:rPr>
          <w:color w:val="auto"/>
          <w:sz w:val="21"/>
        </w:rPr>
        <w:t>（</w:t>
      </w:r>
      <w:r>
        <w:rPr>
          <w:color w:val="auto"/>
          <w:spacing w:val="-3"/>
          <w:sz w:val="21"/>
        </w:rPr>
        <w:t>或</w:t>
      </w:r>
      <w:r>
        <w:rPr>
          <w:color w:val="auto"/>
          <w:sz w:val="21"/>
        </w:rPr>
        <w:t>）</w:t>
      </w:r>
      <w:r>
        <w:rPr>
          <w:color w:val="auto"/>
          <w:spacing w:val="-3"/>
          <w:sz w:val="21"/>
        </w:rPr>
        <w:t xml:space="preserve">工期延误由承包人承担。 </w:t>
      </w:r>
    </w:p>
    <w:p>
      <w:pPr>
        <w:pStyle w:val="44"/>
        <w:numPr>
          <w:ilvl w:val="2"/>
          <w:numId w:val="22"/>
        </w:numPr>
        <w:tabs>
          <w:tab w:val="left" w:pos="1057"/>
        </w:tabs>
        <w:spacing w:line="417" w:lineRule="auto"/>
        <w:ind w:left="212" w:right="429" w:firstLine="420"/>
        <w:jc w:val="both"/>
        <w:rPr>
          <w:color w:val="auto"/>
          <w:sz w:val="21"/>
        </w:rPr>
      </w:pPr>
      <w:r>
        <w:rPr>
          <w:color w:val="auto"/>
          <w:spacing w:val="-1"/>
          <w:sz w:val="21"/>
        </w:rPr>
        <w:t>发包人提供的材料和工程设备的规格、数量或质量不符合合同要求，或由于发包人原因发生交</w:t>
      </w:r>
      <w:r>
        <w:rPr>
          <w:color w:val="auto"/>
          <w:spacing w:val="-5"/>
          <w:sz w:val="21"/>
        </w:rPr>
        <w:t>货日期延误及交货地点变更等情况的，发包人应承担由此增加的费用和</w:t>
      </w:r>
      <w:r>
        <w:rPr>
          <w:color w:val="auto"/>
          <w:spacing w:val="-3"/>
          <w:sz w:val="21"/>
        </w:rPr>
        <w:t>（或</w:t>
      </w:r>
      <w:r>
        <w:rPr>
          <w:color w:val="auto"/>
          <w:spacing w:val="-5"/>
          <w:sz w:val="21"/>
        </w:rPr>
        <w:t>）</w:t>
      </w:r>
      <w:r>
        <w:rPr>
          <w:color w:val="auto"/>
          <w:spacing w:val="-4"/>
          <w:sz w:val="21"/>
        </w:rPr>
        <w:t>工期延误，并向承包人支付</w:t>
      </w:r>
      <w:r>
        <w:rPr>
          <w:color w:val="auto"/>
          <w:spacing w:val="-3"/>
          <w:sz w:val="21"/>
        </w:rPr>
        <w:t>合理利润。</w:t>
      </w:r>
      <w:r>
        <w:rPr>
          <w:color w:val="auto"/>
          <w:sz w:val="21"/>
        </w:rPr>
        <w:t xml:space="preserve"> </w:t>
      </w:r>
    </w:p>
    <w:p>
      <w:pPr>
        <w:pStyle w:val="41"/>
        <w:numPr>
          <w:ilvl w:val="1"/>
          <w:numId w:val="28"/>
        </w:numPr>
        <w:tabs>
          <w:tab w:val="left" w:pos="634"/>
        </w:tabs>
        <w:spacing w:line="287" w:lineRule="exact"/>
        <w:ind w:hanging="422"/>
        <w:rPr>
          <w:color w:val="auto"/>
        </w:rPr>
      </w:pPr>
      <w:bookmarkStart w:id="141" w:name="6.2_发包人提供的材料和工程设备（B）"/>
      <w:bookmarkEnd w:id="141"/>
      <w:r>
        <w:rPr>
          <w:color w:val="auto"/>
        </w:rPr>
        <w:t>发包人提供的材料和工程设备（</w:t>
      </w:r>
      <w:r>
        <w:rPr>
          <w:rFonts w:ascii="Times New Roman" w:eastAsia="Times New Roman"/>
          <w:color w:val="auto"/>
        </w:rPr>
        <w:t>B</w:t>
      </w:r>
      <w:r>
        <w:rPr>
          <w:color w:val="auto"/>
        </w:rPr>
        <w:t>）</w:t>
      </w:r>
    </w:p>
    <w:p>
      <w:pPr>
        <w:pStyle w:val="8"/>
        <w:spacing w:before="180"/>
        <w:ind w:left="633"/>
        <w:rPr>
          <w:color w:val="auto"/>
        </w:rPr>
      </w:pPr>
      <w:r>
        <w:rPr>
          <w:color w:val="auto"/>
        </w:rPr>
        <w:t xml:space="preserve">发包人不提供材料和工程设备。 </w:t>
      </w:r>
    </w:p>
    <w:p>
      <w:pPr>
        <w:pStyle w:val="41"/>
        <w:numPr>
          <w:ilvl w:val="1"/>
          <w:numId w:val="28"/>
        </w:numPr>
        <w:tabs>
          <w:tab w:val="left" w:pos="634"/>
        </w:tabs>
        <w:spacing w:before="179"/>
        <w:ind w:hanging="422"/>
        <w:rPr>
          <w:color w:val="auto"/>
        </w:rPr>
      </w:pPr>
      <w:bookmarkStart w:id="142" w:name="6.3_专用于工程的材料和工程设备"/>
      <w:bookmarkEnd w:id="142"/>
      <w:r>
        <w:rPr>
          <w:color w:val="auto"/>
        </w:rPr>
        <w:t>专用于工程的材料和工程设备</w:t>
      </w:r>
    </w:p>
    <w:p>
      <w:pPr>
        <w:pStyle w:val="44"/>
        <w:numPr>
          <w:ilvl w:val="2"/>
          <w:numId w:val="28"/>
        </w:numPr>
        <w:tabs>
          <w:tab w:val="left" w:pos="1057"/>
        </w:tabs>
        <w:spacing w:before="180" w:line="417" w:lineRule="auto"/>
        <w:ind w:right="432" w:firstLine="420"/>
        <w:rPr>
          <w:color w:val="auto"/>
          <w:sz w:val="21"/>
        </w:rPr>
      </w:pPr>
      <w:r>
        <w:rPr>
          <w:color w:val="auto"/>
          <w:spacing w:val="-1"/>
          <w:sz w:val="21"/>
        </w:rPr>
        <w:t>运入施工场地的材料、工程设备，包括备品备件、安装专用工器具与随机资料，必须专用于合</w:t>
      </w:r>
      <w:r>
        <w:rPr>
          <w:color w:val="auto"/>
          <w:spacing w:val="-3"/>
          <w:sz w:val="21"/>
        </w:rPr>
        <w:t>同约定范围内的工程，未经监理人同意，承包人不得运出施工场地或挪作他用。</w:t>
      </w:r>
      <w:r>
        <w:rPr>
          <w:color w:val="auto"/>
          <w:sz w:val="21"/>
        </w:rPr>
        <w:t xml:space="preserve"> </w:t>
      </w:r>
    </w:p>
    <w:p>
      <w:pPr>
        <w:spacing w:line="417" w:lineRule="auto"/>
        <w:rPr>
          <w:color w:val="auto"/>
          <w:sz w:val="21"/>
        </w:rPr>
        <w:sectPr>
          <w:pgSz w:w="11910" w:h="16840"/>
          <w:pgMar w:top="1540" w:right="700" w:bottom="1180" w:left="920" w:header="0" w:footer="995" w:gutter="0"/>
          <w:cols w:space="720" w:num="1"/>
        </w:sectPr>
      </w:pPr>
    </w:p>
    <w:p>
      <w:pPr>
        <w:pStyle w:val="44"/>
        <w:numPr>
          <w:ilvl w:val="2"/>
          <w:numId w:val="28"/>
        </w:numPr>
        <w:tabs>
          <w:tab w:val="left" w:pos="1057"/>
        </w:tabs>
        <w:spacing w:before="65" w:line="417" w:lineRule="auto"/>
        <w:ind w:right="426" w:firstLine="420"/>
        <w:jc w:val="both"/>
        <w:rPr>
          <w:color w:val="auto"/>
          <w:sz w:val="21"/>
        </w:rPr>
      </w:pPr>
      <w:r>
        <w:rPr>
          <w:color w:val="auto"/>
          <w:spacing w:val="-1"/>
          <w:sz w:val="21"/>
        </w:rPr>
        <w:t>随同工程设备运入施工场地的备品备件、专用工器具与随机资料，应由承包人会同监理人按供</w:t>
      </w:r>
      <w:r>
        <w:rPr>
          <w:color w:val="auto"/>
          <w:spacing w:val="-6"/>
          <w:sz w:val="21"/>
        </w:rPr>
        <w:t>货人的装箱单清点后共同封存，未经监理人同意不得启用。承包人因合同工作需要使用上述物品时，应向</w:t>
      </w:r>
      <w:r>
        <w:rPr>
          <w:color w:val="auto"/>
          <w:spacing w:val="-4"/>
          <w:sz w:val="21"/>
        </w:rPr>
        <w:t>监理人提出申请。</w:t>
      </w:r>
      <w:r>
        <w:rPr>
          <w:color w:val="auto"/>
          <w:sz w:val="21"/>
        </w:rPr>
        <w:t xml:space="preserve"> </w:t>
      </w:r>
    </w:p>
    <w:p>
      <w:pPr>
        <w:pStyle w:val="41"/>
        <w:numPr>
          <w:ilvl w:val="1"/>
          <w:numId w:val="28"/>
        </w:numPr>
        <w:tabs>
          <w:tab w:val="left" w:pos="634"/>
        </w:tabs>
        <w:spacing w:line="287" w:lineRule="exact"/>
        <w:ind w:hanging="422"/>
        <w:rPr>
          <w:color w:val="auto"/>
        </w:rPr>
      </w:pPr>
      <w:bookmarkStart w:id="143" w:name="6.4_实施方法"/>
      <w:bookmarkEnd w:id="143"/>
      <w:r>
        <w:rPr>
          <w:color w:val="auto"/>
        </w:rPr>
        <w:t>实施方法</w:t>
      </w:r>
    </w:p>
    <w:p>
      <w:pPr>
        <w:pStyle w:val="8"/>
        <w:spacing w:before="181" w:line="417" w:lineRule="auto"/>
        <w:ind w:left="212" w:right="428" w:firstLine="420"/>
        <w:rPr>
          <w:color w:val="auto"/>
        </w:rPr>
      </w:pPr>
      <w:r>
        <w:rPr>
          <w:color w:val="auto"/>
          <w:spacing w:val="-6"/>
        </w:rPr>
        <w:t xml:space="preserve">承包人对材料的加工、工程设备的采购、制造、安装应当按照法律规定、合同约定以及行业习惯来实施。 </w:t>
      </w:r>
    </w:p>
    <w:p>
      <w:pPr>
        <w:pStyle w:val="41"/>
        <w:numPr>
          <w:ilvl w:val="1"/>
          <w:numId w:val="28"/>
        </w:numPr>
        <w:tabs>
          <w:tab w:val="left" w:pos="634"/>
        </w:tabs>
        <w:spacing w:line="287" w:lineRule="exact"/>
        <w:ind w:hanging="422"/>
        <w:rPr>
          <w:color w:val="auto"/>
        </w:rPr>
      </w:pPr>
      <w:bookmarkStart w:id="144" w:name="6.5_禁止使用不合格的材料和工程设备"/>
      <w:bookmarkEnd w:id="144"/>
      <w:r>
        <w:rPr>
          <w:color w:val="auto"/>
        </w:rPr>
        <w:t>禁止使用不合格的材料和工程设备</w:t>
      </w:r>
    </w:p>
    <w:p>
      <w:pPr>
        <w:pStyle w:val="44"/>
        <w:numPr>
          <w:ilvl w:val="2"/>
          <w:numId w:val="28"/>
        </w:numPr>
        <w:tabs>
          <w:tab w:val="left" w:pos="1057"/>
        </w:tabs>
        <w:spacing w:before="181" w:line="417" w:lineRule="auto"/>
        <w:ind w:right="432" w:firstLine="420"/>
        <w:rPr>
          <w:color w:val="auto"/>
          <w:sz w:val="21"/>
        </w:rPr>
      </w:pPr>
      <w:r>
        <w:rPr>
          <w:color w:val="auto"/>
          <w:spacing w:val="-1"/>
          <w:sz w:val="21"/>
        </w:rPr>
        <w:t>监理人有权拒绝承包人提供的不合格材料或工程设备，并要求承包人立即进行更换。监理人应</w:t>
      </w:r>
      <w:r>
        <w:rPr>
          <w:color w:val="auto"/>
          <w:spacing w:val="-3"/>
          <w:sz w:val="21"/>
        </w:rPr>
        <w:t>在更换后再次进行检查和检验，由此增加的费用和</w:t>
      </w:r>
      <w:r>
        <w:rPr>
          <w:color w:val="auto"/>
          <w:sz w:val="21"/>
        </w:rPr>
        <w:t>（或</w:t>
      </w:r>
      <w:r>
        <w:rPr>
          <w:color w:val="auto"/>
          <w:spacing w:val="-3"/>
          <w:sz w:val="21"/>
        </w:rPr>
        <w:t>）工期延误由承包人承担。</w:t>
      </w:r>
      <w:r>
        <w:rPr>
          <w:color w:val="auto"/>
          <w:sz w:val="21"/>
        </w:rPr>
        <w:t xml:space="preserve"> </w:t>
      </w:r>
    </w:p>
    <w:p>
      <w:pPr>
        <w:pStyle w:val="44"/>
        <w:numPr>
          <w:ilvl w:val="2"/>
          <w:numId w:val="28"/>
        </w:numPr>
        <w:tabs>
          <w:tab w:val="left" w:pos="1057"/>
        </w:tabs>
        <w:spacing w:line="417" w:lineRule="auto"/>
        <w:ind w:right="427" w:firstLine="420"/>
        <w:rPr>
          <w:color w:val="auto"/>
          <w:sz w:val="21"/>
        </w:rPr>
      </w:pPr>
      <w:r>
        <w:rPr>
          <w:color w:val="auto"/>
          <w:spacing w:val="-1"/>
          <w:sz w:val="21"/>
        </w:rPr>
        <w:t>监理人发现承包人使用了不合格的材料和工程设备，应即时发出指示要求承包人立即改正，并</w:t>
      </w:r>
      <w:r>
        <w:rPr>
          <w:color w:val="auto"/>
          <w:spacing w:val="-3"/>
          <w:sz w:val="21"/>
        </w:rPr>
        <w:t>禁止在工程中继续使用不合格的材料和工程设备。</w:t>
      </w:r>
      <w:r>
        <w:rPr>
          <w:color w:val="auto"/>
          <w:sz w:val="21"/>
        </w:rPr>
        <w:t xml:space="preserve"> </w:t>
      </w:r>
    </w:p>
    <w:p>
      <w:pPr>
        <w:pStyle w:val="44"/>
        <w:numPr>
          <w:ilvl w:val="2"/>
          <w:numId w:val="28"/>
        </w:numPr>
        <w:tabs>
          <w:tab w:val="left" w:pos="1057"/>
        </w:tabs>
        <w:spacing w:line="417" w:lineRule="auto"/>
        <w:ind w:right="432" w:firstLine="420"/>
        <w:rPr>
          <w:color w:val="auto"/>
          <w:sz w:val="21"/>
        </w:rPr>
      </w:pPr>
      <w:r>
        <w:rPr>
          <w:color w:val="auto"/>
          <w:spacing w:val="-1"/>
          <w:sz w:val="21"/>
        </w:rPr>
        <w:t>发包人提供的材料或工程设备不符合合同要求的，承包人有权拒绝，并可要求发包人更换，由</w:t>
      </w:r>
      <w:r>
        <w:rPr>
          <w:color w:val="auto"/>
          <w:spacing w:val="-3"/>
          <w:sz w:val="21"/>
        </w:rPr>
        <w:t>此增加的费用和</w:t>
      </w:r>
      <w:r>
        <w:rPr>
          <w:color w:val="auto"/>
          <w:sz w:val="21"/>
        </w:rPr>
        <w:t>（</w:t>
      </w:r>
      <w:r>
        <w:rPr>
          <w:color w:val="auto"/>
          <w:spacing w:val="-3"/>
          <w:sz w:val="21"/>
        </w:rPr>
        <w:t>或</w:t>
      </w:r>
      <w:r>
        <w:rPr>
          <w:color w:val="auto"/>
          <w:sz w:val="21"/>
        </w:rPr>
        <w:t>）</w:t>
      </w:r>
      <w:r>
        <w:rPr>
          <w:color w:val="auto"/>
          <w:spacing w:val="-3"/>
          <w:sz w:val="21"/>
        </w:rPr>
        <w:t>工期延误由发包人承担。</w:t>
      </w:r>
      <w:r>
        <w:rPr>
          <w:color w:val="auto"/>
          <w:sz w:val="21"/>
        </w:rPr>
        <w:t xml:space="preserve"> </w:t>
      </w:r>
    </w:p>
    <w:p>
      <w:pPr>
        <w:pStyle w:val="8"/>
        <w:spacing w:before="10"/>
        <w:rPr>
          <w:color w:val="auto"/>
          <w:sz w:val="20"/>
        </w:rPr>
      </w:pPr>
    </w:p>
    <w:p>
      <w:pPr>
        <w:pStyle w:val="37"/>
        <w:numPr>
          <w:ilvl w:val="0"/>
          <w:numId w:val="22"/>
        </w:numPr>
        <w:tabs>
          <w:tab w:val="left" w:pos="639"/>
        </w:tabs>
        <w:ind w:left="638" w:hanging="427"/>
        <w:rPr>
          <w:rFonts w:ascii="Cambria" w:eastAsia="Cambria"/>
          <w:color w:val="auto"/>
        </w:rPr>
      </w:pPr>
      <w:bookmarkStart w:id="145" w:name="7._施工设备和临时设施"/>
      <w:bookmarkEnd w:id="145"/>
      <w:r>
        <w:rPr>
          <w:color w:val="auto"/>
        </w:rPr>
        <w:t>施工设备和临时设施</w:t>
      </w:r>
    </w:p>
    <w:p>
      <w:pPr>
        <w:pStyle w:val="8"/>
        <w:rPr>
          <w:b/>
          <w:color w:val="auto"/>
          <w:sz w:val="35"/>
        </w:rPr>
      </w:pPr>
    </w:p>
    <w:p>
      <w:pPr>
        <w:pStyle w:val="41"/>
        <w:numPr>
          <w:ilvl w:val="1"/>
          <w:numId w:val="22"/>
        </w:numPr>
        <w:tabs>
          <w:tab w:val="left" w:pos="634"/>
        </w:tabs>
        <w:ind w:left="633" w:hanging="422"/>
        <w:rPr>
          <w:rFonts w:ascii="Times New Roman" w:eastAsia="Times New Roman"/>
          <w:color w:val="auto"/>
        </w:rPr>
      </w:pPr>
      <w:bookmarkStart w:id="146" w:name="7.1_承包人提供的施工设备和临时设施"/>
      <w:bookmarkEnd w:id="146"/>
      <w:r>
        <w:rPr>
          <w:color w:val="auto"/>
        </w:rPr>
        <w:t>承包人提供的施工设备和临时设施</w:t>
      </w:r>
    </w:p>
    <w:p>
      <w:pPr>
        <w:pStyle w:val="44"/>
        <w:numPr>
          <w:ilvl w:val="2"/>
          <w:numId w:val="22"/>
        </w:numPr>
        <w:tabs>
          <w:tab w:val="left" w:pos="1057"/>
        </w:tabs>
        <w:spacing w:before="178" w:line="417" w:lineRule="auto"/>
        <w:ind w:left="212" w:right="432" w:firstLine="420"/>
        <w:rPr>
          <w:color w:val="auto"/>
          <w:sz w:val="21"/>
        </w:rPr>
      </w:pPr>
      <w:r>
        <w:rPr>
          <w:color w:val="auto"/>
          <w:spacing w:val="-1"/>
          <w:sz w:val="21"/>
        </w:rPr>
        <w:t>承包人应按合同进度计划的要求，及时配置施工设备和修建临时设施。进入施工场地的承包人</w:t>
      </w:r>
      <w:r>
        <w:rPr>
          <w:color w:val="auto"/>
          <w:spacing w:val="-3"/>
          <w:sz w:val="21"/>
        </w:rPr>
        <w:t xml:space="preserve">设备需经监理人核查后才能投入使用。承包人更换合同约定的承包人设备的，应报监理人批准。 </w:t>
      </w:r>
    </w:p>
    <w:p>
      <w:pPr>
        <w:pStyle w:val="44"/>
        <w:numPr>
          <w:ilvl w:val="2"/>
          <w:numId w:val="22"/>
        </w:numPr>
        <w:tabs>
          <w:tab w:val="left" w:pos="1057"/>
        </w:tabs>
        <w:spacing w:line="417" w:lineRule="auto"/>
        <w:ind w:left="212" w:right="428" w:firstLine="420"/>
        <w:rPr>
          <w:color w:val="auto"/>
          <w:sz w:val="21"/>
        </w:rPr>
      </w:pPr>
      <w:r>
        <w:rPr>
          <w:color w:val="auto"/>
          <w:spacing w:val="-1"/>
          <w:sz w:val="21"/>
        </w:rPr>
        <w:t>除专用合同条款另有约定外，承包人应自行承担修建临时设施的费用。需要临时占地的，应由</w:t>
      </w:r>
      <w:r>
        <w:rPr>
          <w:color w:val="auto"/>
          <w:spacing w:val="-3"/>
          <w:sz w:val="21"/>
        </w:rPr>
        <w:t xml:space="preserve">发包人办理申请手续并承担相应费用。 </w:t>
      </w:r>
    </w:p>
    <w:p>
      <w:pPr>
        <w:pStyle w:val="41"/>
        <w:numPr>
          <w:ilvl w:val="1"/>
          <w:numId w:val="22"/>
        </w:numPr>
        <w:tabs>
          <w:tab w:val="left" w:pos="634"/>
        </w:tabs>
        <w:spacing w:line="287" w:lineRule="exact"/>
        <w:ind w:left="633" w:hanging="422"/>
        <w:rPr>
          <w:rFonts w:ascii="Times New Roman" w:eastAsia="Times New Roman"/>
          <w:color w:val="auto"/>
        </w:rPr>
      </w:pPr>
      <w:bookmarkStart w:id="147" w:name="7.2_发包人提供的施工设备和临时设施（A）"/>
      <w:bookmarkEnd w:id="147"/>
      <w:r>
        <w:rPr>
          <w:color w:val="auto"/>
        </w:rPr>
        <w:t>发包人提供的施工设备和临时设施（</w:t>
      </w:r>
      <w:r>
        <w:rPr>
          <w:rFonts w:ascii="Times New Roman" w:eastAsia="Times New Roman"/>
          <w:color w:val="auto"/>
        </w:rPr>
        <w:t>A</w:t>
      </w:r>
      <w:r>
        <w:rPr>
          <w:color w:val="auto"/>
        </w:rPr>
        <w:t>）</w:t>
      </w:r>
    </w:p>
    <w:p>
      <w:pPr>
        <w:pStyle w:val="8"/>
        <w:spacing w:before="181"/>
        <w:ind w:left="633"/>
        <w:rPr>
          <w:color w:val="auto"/>
        </w:rPr>
      </w:pPr>
      <w:r>
        <w:rPr>
          <w:color w:val="auto"/>
        </w:rPr>
        <w:t xml:space="preserve">发包人提供的施工设备或临时设施在专用合同条款中约定。 </w:t>
      </w:r>
    </w:p>
    <w:p>
      <w:pPr>
        <w:pStyle w:val="41"/>
        <w:numPr>
          <w:ilvl w:val="1"/>
          <w:numId w:val="29"/>
        </w:numPr>
        <w:tabs>
          <w:tab w:val="left" w:pos="634"/>
        </w:tabs>
        <w:spacing w:before="178"/>
        <w:ind w:hanging="422"/>
        <w:rPr>
          <w:color w:val="auto"/>
        </w:rPr>
      </w:pPr>
      <w:bookmarkStart w:id="148" w:name="7.2_发包人提供的施工设备和临时设施（B）"/>
      <w:bookmarkEnd w:id="148"/>
      <w:r>
        <w:rPr>
          <w:color w:val="auto"/>
        </w:rPr>
        <w:t>发包人提供的施工设备和临时设施（</w:t>
      </w:r>
      <w:r>
        <w:rPr>
          <w:rFonts w:ascii="Times New Roman" w:eastAsia="Times New Roman"/>
          <w:color w:val="auto"/>
        </w:rPr>
        <w:t>B</w:t>
      </w:r>
      <w:r>
        <w:rPr>
          <w:color w:val="auto"/>
        </w:rPr>
        <w:t>）</w:t>
      </w:r>
    </w:p>
    <w:p>
      <w:pPr>
        <w:pStyle w:val="8"/>
        <w:spacing w:before="182"/>
        <w:ind w:left="633"/>
        <w:rPr>
          <w:color w:val="auto"/>
        </w:rPr>
      </w:pPr>
      <w:r>
        <w:rPr>
          <w:color w:val="auto"/>
        </w:rPr>
        <w:t xml:space="preserve">发包人不提供施工设备或临时设施。 </w:t>
      </w:r>
    </w:p>
    <w:p>
      <w:pPr>
        <w:pStyle w:val="41"/>
        <w:numPr>
          <w:ilvl w:val="1"/>
          <w:numId w:val="29"/>
        </w:numPr>
        <w:tabs>
          <w:tab w:val="left" w:pos="634"/>
        </w:tabs>
        <w:spacing w:before="178"/>
        <w:ind w:hanging="422"/>
        <w:rPr>
          <w:color w:val="auto"/>
        </w:rPr>
      </w:pPr>
      <w:bookmarkStart w:id="149" w:name="7.3_要求承包人增加或更换施工设备"/>
      <w:bookmarkEnd w:id="149"/>
      <w:r>
        <w:rPr>
          <w:color w:val="auto"/>
        </w:rPr>
        <w:t>要求承包人增加或更换施工设备</w:t>
      </w:r>
    </w:p>
    <w:p>
      <w:pPr>
        <w:pStyle w:val="8"/>
        <w:spacing w:before="181" w:line="417" w:lineRule="auto"/>
        <w:ind w:left="212" w:right="413" w:firstLine="420"/>
        <w:rPr>
          <w:color w:val="auto"/>
        </w:rPr>
      </w:pPr>
      <w:r>
        <w:rPr>
          <w:color w:val="auto"/>
        </w:rPr>
        <w:t xml:space="preserve">承包人使用的施工设备不能满足合同进度计划和（或）质量标准时，监理人有权要求承包人增加或更换施工设备，承包人应及时增加或更换，由此增加的费用和（或）工期延误由承包人承担。 </w:t>
      </w:r>
    </w:p>
    <w:p>
      <w:pPr>
        <w:pStyle w:val="41"/>
        <w:numPr>
          <w:ilvl w:val="1"/>
          <w:numId w:val="29"/>
        </w:numPr>
        <w:tabs>
          <w:tab w:val="left" w:pos="634"/>
        </w:tabs>
        <w:spacing w:line="287" w:lineRule="exact"/>
        <w:ind w:hanging="422"/>
        <w:rPr>
          <w:color w:val="auto"/>
        </w:rPr>
      </w:pPr>
      <w:bookmarkStart w:id="150" w:name="7.4_施工设备和临时设施专用于合同工程"/>
      <w:bookmarkEnd w:id="150"/>
      <w:r>
        <w:rPr>
          <w:color w:val="auto"/>
        </w:rPr>
        <w:t>施工设备和临时设施专用于合同工程</w:t>
      </w:r>
    </w:p>
    <w:p>
      <w:pPr>
        <w:pStyle w:val="44"/>
        <w:numPr>
          <w:ilvl w:val="2"/>
          <w:numId w:val="29"/>
        </w:numPr>
        <w:tabs>
          <w:tab w:val="left" w:pos="1057"/>
        </w:tabs>
        <w:spacing w:before="181"/>
        <w:rPr>
          <w:color w:val="auto"/>
          <w:sz w:val="21"/>
        </w:rPr>
      </w:pPr>
      <w:r>
        <w:rPr>
          <w:color w:val="auto"/>
          <w:sz w:val="21"/>
        </w:rPr>
        <w:t>除合同另有约定外，运入施工场地的所有施工设备以及在施工场地建设的临时设施应专用于合</w:t>
      </w:r>
    </w:p>
    <w:p>
      <w:pPr>
        <w:rPr>
          <w:color w:val="auto"/>
          <w:sz w:val="21"/>
        </w:rPr>
        <w:sectPr>
          <w:pgSz w:w="11910" w:h="16840"/>
          <w:pgMar w:top="1540" w:right="700" w:bottom="1180" w:left="920" w:header="0" w:footer="995" w:gutter="0"/>
          <w:cols w:space="720" w:num="1"/>
        </w:sectPr>
      </w:pPr>
    </w:p>
    <w:p>
      <w:pPr>
        <w:pStyle w:val="8"/>
        <w:spacing w:before="45"/>
        <w:ind w:left="212"/>
        <w:rPr>
          <w:color w:val="auto"/>
        </w:rPr>
      </w:pPr>
      <w:r>
        <w:rPr>
          <w:color w:val="auto"/>
        </w:rPr>
        <w:t xml:space="preserve">同工程。未经监理人同意，不得将上述施工设备和临时设施中的任何部分运出施工场地或挪作他用。 </w:t>
      </w:r>
    </w:p>
    <w:p>
      <w:pPr>
        <w:pStyle w:val="8"/>
        <w:spacing w:before="7"/>
        <w:rPr>
          <w:color w:val="auto"/>
          <w:sz w:val="15"/>
        </w:rPr>
      </w:pPr>
    </w:p>
    <w:p>
      <w:pPr>
        <w:pStyle w:val="44"/>
        <w:numPr>
          <w:ilvl w:val="2"/>
          <w:numId w:val="29"/>
        </w:numPr>
        <w:tabs>
          <w:tab w:val="left" w:pos="1057"/>
        </w:tabs>
        <w:rPr>
          <w:color w:val="auto"/>
          <w:sz w:val="21"/>
        </w:rPr>
      </w:pPr>
      <w:r>
        <w:rPr>
          <w:color w:val="auto"/>
          <w:spacing w:val="-3"/>
          <w:sz w:val="21"/>
        </w:rPr>
        <w:t>经监理人同意，承包人可根据合同进度计划撤走闲置的施工设备。</w:t>
      </w:r>
      <w:r>
        <w:rPr>
          <w:color w:val="auto"/>
          <w:sz w:val="21"/>
        </w:rPr>
        <w:t xml:space="preserve"> </w:t>
      </w:r>
    </w:p>
    <w:p>
      <w:pPr>
        <w:pStyle w:val="8"/>
        <w:rPr>
          <w:color w:val="auto"/>
          <w:sz w:val="22"/>
        </w:rPr>
      </w:pPr>
    </w:p>
    <w:p>
      <w:pPr>
        <w:pStyle w:val="37"/>
        <w:numPr>
          <w:ilvl w:val="0"/>
          <w:numId w:val="22"/>
        </w:numPr>
        <w:tabs>
          <w:tab w:val="left" w:pos="639"/>
        </w:tabs>
        <w:spacing w:before="184"/>
        <w:ind w:left="638" w:hanging="427"/>
        <w:rPr>
          <w:rFonts w:ascii="Cambria" w:eastAsia="Cambria"/>
          <w:color w:val="auto"/>
        </w:rPr>
      </w:pPr>
      <w:bookmarkStart w:id="151" w:name="8._交通运输"/>
      <w:bookmarkEnd w:id="151"/>
      <w:r>
        <w:rPr>
          <w:color w:val="auto"/>
        </w:rPr>
        <w:t>交通运输</w:t>
      </w:r>
    </w:p>
    <w:p>
      <w:pPr>
        <w:pStyle w:val="8"/>
        <w:spacing w:before="12"/>
        <w:rPr>
          <w:b/>
          <w:color w:val="auto"/>
          <w:sz w:val="34"/>
        </w:rPr>
      </w:pPr>
    </w:p>
    <w:p>
      <w:pPr>
        <w:pStyle w:val="41"/>
        <w:numPr>
          <w:ilvl w:val="1"/>
          <w:numId w:val="22"/>
        </w:numPr>
        <w:tabs>
          <w:tab w:val="left" w:pos="634"/>
        </w:tabs>
        <w:ind w:left="633" w:hanging="422"/>
        <w:rPr>
          <w:rFonts w:ascii="Times New Roman" w:eastAsia="Times New Roman"/>
          <w:color w:val="auto"/>
        </w:rPr>
      </w:pPr>
      <w:bookmarkStart w:id="152" w:name="8.1_道路通行权和场外设施（A）"/>
      <w:bookmarkEnd w:id="152"/>
      <w:r>
        <w:rPr>
          <w:color w:val="auto"/>
        </w:rPr>
        <w:t>道路通行权和场外设施（</w:t>
      </w:r>
      <w:r>
        <w:rPr>
          <w:rFonts w:ascii="Times New Roman" w:eastAsia="Times New Roman"/>
          <w:color w:val="auto"/>
        </w:rPr>
        <w:t>A</w:t>
      </w:r>
      <w:r>
        <w:rPr>
          <w:color w:val="auto"/>
        </w:rPr>
        <w:t>）</w:t>
      </w:r>
    </w:p>
    <w:p>
      <w:pPr>
        <w:pStyle w:val="8"/>
        <w:spacing w:before="181" w:line="417" w:lineRule="auto"/>
        <w:ind w:left="212" w:right="426" w:firstLine="420"/>
        <w:rPr>
          <w:color w:val="auto"/>
        </w:rPr>
      </w:pPr>
      <w:r>
        <w:rPr>
          <w:color w:val="auto"/>
          <w:spacing w:val="-5"/>
        </w:rPr>
        <w:t>发包人应根据工程的施工需要，负责办理取得出入施工场地的专用和临时道路的通行权，以及取得为</w:t>
      </w:r>
      <w:r>
        <w:rPr>
          <w:color w:val="auto"/>
          <w:spacing w:val="-4"/>
        </w:rPr>
        <w:t xml:space="preserve">工程建设所需修建场外设施的权利，并承担有关费用。承包人应协助发包人办理上述手续。 </w:t>
      </w:r>
    </w:p>
    <w:p>
      <w:pPr>
        <w:pStyle w:val="41"/>
        <w:numPr>
          <w:ilvl w:val="1"/>
          <w:numId w:val="30"/>
        </w:numPr>
        <w:tabs>
          <w:tab w:val="left" w:pos="634"/>
        </w:tabs>
        <w:spacing w:line="287" w:lineRule="exact"/>
        <w:ind w:hanging="422"/>
        <w:rPr>
          <w:color w:val="auto"/>
        </w:rPr>
      </w:pPr>
      <w:bookmarkStart w:id="153" w:name="8.1_道路通行权和场外设施（B）"/>
      <w:bookmarkEnd w:id="153"/>
      <w:r>
        <w:rPr>
          <w:color w:val="auto"/>
        </w:rPr>
        <w:t>道路通行权和场外设施（</w:t>
      </w:r>
      <w:r>
        <w:rPr>
          <w:rFonts w:ascii="Times New Roman" w:eastAsia="Times New Roman"/>
          <w:color w:val="auto"/>
        </w:rPr>
        <w:t>B</w:t>
      </w:r>
      <w:r>
        <w:rPr>
          <w:color w:val="auto"/>
        </w:rPr>
        <w:t>）</w:t>
      </w:r>
    </w:p>
    <w:p>
      <w:pPr>
        <w:pStyle w:val="8"/>
        <w:spacing w:before="181" w:line="417" w:lineRule="auto"/>
        <w:ind w:left="212" w:right="426" w:firstLine="420"/>
        <w:rPr>
          <w:color w:val="auto"/>
        </w:rPr>
      </w:pPr>
      <w:r>
        <w:rPr>
          <w:color w:val="auto"/>
          <w:spacing w:val="-5"/>
        </w:rPr>
        <w:t>承包人应根据工程的施工需要，负责办理取得出入施工场地的专用和临时道路的通行权，以及取得为</w:t>
      </w:r>
      <w:r>
        <w:rPr>
          <w:color w:val="auto"/>
          <w:spacing w:val="-4"/>
        </w:rPr>
        <w:t xml:space="preserve">工程建设所需修建场外设施的权利，并承担有关费用。发包人应协助承包人办理上述手续。 </w:t>
      </w:r>
    </w:p>
    <w:p>
      <w:pPr>
        <w:pStyle w:val="8"/>
        <w:spacing w:line="269" w:lineRule="exact"/>
        <w:ind w:left="633"/>
        <w:rPr>
          <w:color w:val="auto"/>
        </w:rPr>
      </w:pPr>
      <w:r>
        <w:rPr>
          <w:color w:val="auto"/>
        </w:rPr>
        <w:t xml:space="preserve"> </w:t>
      </w:r>
    </w:p>
    <w:p>
      <w:pPr>
        <w:pStyle w:val="41"/>
        <w:numPr>
          <w:ilvl w:val="1"/>
          <w:numId w:val="30"/>
        </w:numPr>
        <w:tabs>
          <w:tab w:val="left" w:pos="634"/>
        </w:tabs>
        <w:spacing w:before="179"/>
        <w:ind w:hanging="422"/>
        <w:rPr>
          <w:color w:val="auto"/>
        </w:rPr>
      </w:pPr>
      <w:bookmarkStart w:id="154" w:name="8.2_场内施工道路"/>
      <w:bookmarkEnd w:id="154"/>
      <w:r>
        <w:rPr>
          <w:color w:val="auto"/>
        </w:rPr>
        <w:t>场内施工道路</w:t>
      </w:r>
    </w:p>
    <w:p>
      <w:pPr>
        <w:pStyle w:val="44"/>
        <w:numPr>
          <w:ilvl w:val="2"/>
          <w:numId w:val="30"/>
        </w:numPr>
        <w:tabs>
          <w:tab w:val="left" w:pos="1057"/>
        </w:tabs>
        <w:spacing w:before="181" w:line="417" w:lineRule="auto"/>
        <w:ind w:right="432" w:firstLine="420"/>
        <w:rPr>
          <w:color w:val="auto"/>
          <w:sz w:val="21"/>
        </w:rPr>
      </w:pPr>
      <w:r>
        <w:rPr>
          <w:color w:val="auto"/>
          <w:spacing w:val="-1"/>
          <w:sz w:val="21"/>
        </w:rPr>
        <w:t>除专用合同条款另有约定外，承包人应负责修建、维修、养护和管理施工所需的临时道路和交</w:t>
      </w:r>
      <w:r>
        <w:rPr>
          <w:color w:val="auto"/>
          <w:spacing w:val="-3"/>
          <w:sz w:val="21"/>
        </w:rPr>
        <w:t>通设施，包括维修、养护和管理发包人提供的道路和交通设施，并承担相应费用。</w:t>
      </w:r>
      <w:r>
        <w:rPr>
          <w:color w:val="auto"/>
          <w:sz w:val="21"/>
        </w:rPr>
        <w:t xml:space="preserve"> </w:t>
      </w:r>
    </w:p>
    <w:p>
      <w:pPr>
        <w:pStyle w:val="44"/>
        <w:numPr>
          <w:ilvl w:val="2"/>
          <w:numId w:val="30"/>
        </w:numPr>
        <w:tabs>
          <w:tab w:val="left" w:pos="1057"/>
        </w:tabs>
        <w:spacing w:line="417" w:lineRule="auto"/>
        <w:ind w:right="432" w:firstLine="420"/>
        <w:rPr>
          <w:color w:val="auto"/>
          <w:sz w:val="21"/>
        </w:rPr>
      </w:pPr>
      <w:r>
        <w:rPr>
          <w:color w:val="auto"/>
          <w:spacing w:val="-1"/>
          <w:sz w:val="21"/>
        </w:rPr>
        <w:t>除专用合同条款另有约定外，承包人修建的临时道路和交通设施应免费提供发包人和监理人为</w:t>
      </w:r>
      <w:r>
        <w:rPr>
          <w:color w:val="auto"/>
          <w:spacing w:val="-3"/>
          <w:sz w:val="21"/>
        </w:rPr>
        <w:t>实现合同目的使用。</w:t>
      </w:r>
      <w:r>
        <w:rPr>
          <w:color w:val="auto"/>
          <w:sz w:val="21"/>
        </w:rPr>
        <w:t xml:space="preserve"> </w:t>
      </w:r>
    </w:p>
    <w:p>
      <w:pPr>
        <w:pStyle w:val="41"/>
        <w:numPr>
          <w:ilvl w:val="1"/>
          <w:numId w:val="30"/>
        </w:numPr>
        <w:tabs>
          <w:tab w:val="left" w:pos="634"/>
        </w:tabs>
        <w:spacing w:line="285" w:lineRule="exact"/>
        <w:ind w:hanging="422"/>
        <w:rPr>
          <w:color w:val="auto"/>
        </w:rPr>
      </w:pPr>
      <w:bookmarkStart w:id="155" w:name="8.3_场外交通"/>
      <w:bookmarkEnd w:id="155"/>
      <w:r>
        <w:rPr>
          <w:color w:val="auto"/>
        </w:rPr>
        <w:t>场外交通</w:t>
      </w:r>
    </w:p>
    <w:p>
      <w:pPr>
        <w:pStyle w:val="44"/>
        <w:numPr>
          <w:ilvl w:val="2"/>
          <w:numId w:val="30"/>
        </w:numPr>
        <w:tabs>
          <w:tab w:val="left" w:pos="1057"/>
        </w:tabs>
        <w:spacing w:before="180"/>
        <w:ind w:left="1056"/>
        <w:rPr>
          <w:color w:val="auto"/>
          <w:sz w:val="21"/>
        </w:rPr>
      </w:pPr>
      <w:r>
        <w:rPr>
          <w:color w:val="auto"/>
          <w:spacing w:val="-3"/>
          <w:sz w:val="21"/>
        </w:rPr>
        <w:t>承包人车辆外出行驶所需的场外公共道路的通行费、养路费和税款等由承包人承担。</w:t>
      </w:r>
      <w:r>
        <w:rPr>
          <w:color w:val="auto"/>
          <w:sz w:val="21"/>
        </w:rPr>
        <w:t xml:space="preserve"> </w:t>
      </w:r>
    </w:p>
    <w:p>
      <w:pPr>
        <w:pStyle w:val="8"/>
        <w:spacing w:before="7"/>
        <w:rPr>
          <w:color w:val="auto"/>
          <w:sz w:val="15"/>
        </w:rPr>
      </w:pPr>
    </w:p>
    <w:p>
      <w:pPr>
        <w:pStyle w:val="44"/>
        <w:numPr>
          <w:ilvl w:val="2"/>
          <w:numId w:val="30"/>
        </w:numPr>
        <w:tabs>
          <w:tab w:val="left" w:pos="1057"/>
        </w:tabs>
        <w:spacing w:line="417" w:lineRule="auto"/>
        <w:ind w:right="432" w:firstLine="420"/>
        <w:rPr>
          <w:color w:val="auto"/>
          <w:sz w:val="21"/>
        </w:rPr>
      </w:pPr>
      <w:r>
        <w:rPr>
          <w:color w:val="auto"/>
          <w:spacing w:val="-1"/>
          <w:sz w:val="21"/>
        </w:rPr>
        <w:t>承包人应遵守有关交通法规，严格按照道路和桥梁的限制荷重安全行驶，并服从交通管理部门</w:t>
      </w:r>
      <w:r>
        <w:rPr>
          <w:color w:val="auto"/>
          <w:spacing w:val="-3"/>
          <w:sz w:val="21"/>
        </w:rPr>
        <w:t>的检查和监督。</w:t>
      </w:r>
      <w:r>
        <w:rPr>
          <w:color w:val="auto"/>
          <w:sz w:val="21"/>
        </w:rPr>
        <w:t xml:space="preserve"> </w:t>
      </w:r>
    </w:p>
    <w:p>
      <w:pPr>
        <w:pStyle w:val="41"/>
        <w:numPr>
          <w:ilvl w:val="1"/>
          <w:numId w:val="30"/>
        </w:numPr>
        <w:tabs>
          <w:tab w:val="left" w:pos="634"/>
        </w:tabs>
        <w:spacing w:line="287" w:lineRule="exact"/>
        <w:ind w:hanging="422"/>
        <w:rPr>
          <w:color w:val="auto"/>
        </w:rPr>
      </w:pPr>
      <w:bookmarkStart w:id="156" w:name="8.4_超大件和超重件的运输"/>
      <w:bookmarkEnd w:id="156"/>
      <w:r>
        <w:rPr>
          <w:color w:val="auto"/>
        </w:rPr>
        <w:t>超大件和超重件的运输</w:t>
      </w:r>
    </w:p>
    <w:p>
      <w:pPr>
        <w:pStyle w:val="8"/>
        <w:spacing w:before="181" w:line="417" w:lineRule="auto"/>
        <w:ind w:left="212" w:right="426" w:firstLine="420"/>
        <w:jc w:val="both"/>
        <w:rPr>
          <w:color w:val="auto"/>
        </w:rPr>
      </w:pPr>
      <w:r>
        <w:rPr>
          <w:color w:val="auto"/>
          <w:spacing w:val="-5"/>
        </w:rPr>
        <w:t>由承包人负责运输的超大件或超重件，应由承包人负责向交通管理部门办理申请手续，发包人给予协</w:t>
      </w:r>
      <w:r>
        <w:rPr>
          <w:color w:val="auto"/>
          <w:spacing w:val="-7"/>
        </w:rPr>
        <w:t>助。运输超大件或超重件所需的道路和桥梁临时加固改造费用和其他有关费用，由承包人承担，但专用合</w:t>
      </w:r>
      <w:r>
        <w:rPr>
          <w:color w:val="auto"/>
          <w:spacing w:val="-5"/>
        </w:rPr>
        <w:t>同条款另有约定除外。</w:t>
      </w:r>
      <w:r>
        <w:rPr>
          <w:color w:val="auto"/>
        </w:rPr>
        <w:t xml:space="preserve"> </w:t>
      </w:r>
    </w:p>
    <w:p>
      <w:pPr>
        <w:pStyle w:val="41"/>
        <w:numPr>
          <w:ilvl w:val="1"/>
          <w:numId w:val="30"/>
        </w:numPr>
        <w:tabs>
          <w:tab w:val="left" w:pos="634"/>
        </w:tabs>
        <w:spacing w:line="287" w:lineRule="exact"/>
        <w:ind w:hanging="422"/>
        <w:rPr>
          <w:color w:val="auto"/>
        </w:rPr>
      </w:pPr>
      <w:bookmarkStart w:id="157" w:name="8.5_道路和桥梁的损坏责任"/>
      <w:bookmarkEnd w:id="157"/>
      <w:r>
        <w:rPr>
          <w:color w:val="auto"/>
        </w:rPr>
        <w:t>道路和桥梁的损坏责任</w:t>
      </w:r>
    </w:p>
    <w:p>
      <w:pPr>
        <w:pStyle w:val="8"/>
        <w:spacing w:before="181" w:line="417" w:lineRule="auto"/>
        <w:ind w:left="212" w:right="402" w:firstLine="420"/>
        <w:rPr>
          <w:color w:val="auto"/>
        </w:rPr>
      </w:pPr>
      <w:r>
        <w:rPr>
          <w:color w:val="auto"/>
        </w:rPr>
        <w:t xml:space="preserve">因承包人运输造成施工场地内外公共道路和桥梁损坏的，由承包人承担修复损坏的全部费用和可能引起的赔偿。 </w:t>
      </w:r>
    </w:p>
    <w:p>
      <w:pPr>
        <w:pStyle w:val="41"/>
        <w:numPr>
          <w:ilvl w:val="1"/>
          <w:numId w:val="30"/>
        </w:numPr>
        <w:tabs>
          <w:tab w:val="left" w:pos="634"/>
        </w:tabs>
        <w:spacing w:line="287" w:lineRule="exact"/>
        <w:ind w:hanging="422"/>
        <w:rPr>
          <w:color w:val="auto"/>
        </w:rPr>
      </w:pPr>
      <w:bookmarkStart w:id="158" w:name="8.6_水路和航空运输"/>
      <w:bookmarkEnd w:id="158"/>
      <w:r>
        <w:rPr>
          <w:color w:val="auto"/>
        </w:rPr>
        <w:t>水路和航空运输</w:t>
      </w:r>
    </w:p>
    <w:p>
      <w:pPr>
        <w:pStyle w:val="8"/>
        <w:spacing w:before="181"/>
        <w:ind w:left="633"/>
        <w:rPr>
          <w:color w:val="auto"/>
        </w:rPr>
      </w:pPr>
      <w:r>
        <w:rPr>
          <w:color w:val="auto"/>
        </w:rPr>
        <w:t>本条上述各款的内容适用于水路运输和航空运输，其中“道路”一词的涵义包括河道、航线、船闸、</w:t>
      </w:r>
    </w:p>
    <w:p>
      <w:pPr>
        <w:rPr>
          <w:color w:val="auto"/>
        </w:rPr>
        <w:sectPr>
          <w:pgSz w:w="11910" w:h="16840"/>
          <w:pgMar w:top="1560" w:right="700" w:bottom="1180" w:left="920" w:header="0" w:footer="995" w:gutter="0"/>
          <w:cols w:space="720" w:num="1"/>
        </w:sectPr>
      </w:pPr>
    </w:p>
    <w:p>
      <w:pPr>
        <w:pStyle w:val="8"/>
        <w:spacing w:before="45"/>
        <w:ind w:left="212"/>
        <w:rPr>
          <w:color w:val="auto"/>
        </w:rPr>
      </w:pPr>
      <w:r>
        <w:rPr>
          <w:color w:val="auto"/>
        </w:rPr>
        <w:t xml:space="preserve">机场、码头、堤防以及水路或航空运输中其他相似结构物；“车辆”一词的涵义包括船舶和飞机等。 </w:t>
      </w:r>
    </w:p>
    <w:p>
      <w:pPr>
        <w:pStyle w:val="8"/>
        <w:rPr>
          <w:color w:val="auto"/>
          <w:sz w:val="20"/>
        </w:rPr>
      </w:pPr>
    </w:p>
    <w:p>
      <w:pPr>
        <w:pStyle w:val="8"/>
        <w:spacing w:before="5"/>
        <w:rPr>
          <w:color w:val="auto"/>
          <w:sz w:val="16"/>
        </w:rPr>
      </w:pPr>
    </w:p>
    <w:p>
      <w:pPr>
        <w:pStyle w:val="37"/>
        <w:numPr>
          <w:ilvl w:val="0"/>
          <w:numId w:val="22"/>
        </w:numPr>
        <w:tabs>
          <w:tab w:val="left" w:pos="639"/>
        </w:tabs>
        <w:ind w:left="638" w:hanging="427"/>
        <w:rPr>
          <w:rFonts w:ascii="Cambria" w:eastAsia="Cambria"/>
          <w:color w:val="auto"/>
        </w:rPr>
      </w:pPr>
      <w:bookmarkStart w:id="159" w:name="9._测量放线"/>
      <w:bookmarkEnd w:id="159"/>
      <w:r>
        <w:rPr>
          <w:color w:val="auto"/>
        </w:rPr>
        <w:t>测量放线</w:t>
      </w:r>
    </w:p>
    <w:p>
      <w:pPr>
        <w:pStyle w:val="8"/>
        <w:spacing w:before="12"/>
        <w:rPr>
          <w:b/>
          <w:color w:val="auto"/>
          <w:sz w:val="34"/>
        </w:rPr>
      </w:pPr>
    </w:p>
    <w:p>
      <w:pPr>
        <w:pStyle w:val="41"/>
        <w:numPr>
          <w:ilvl w:val="1"/>
          <w:numId w:val="22"/>
        </w:numPr>
        <w:tabs>
          <w:tab w:val="left" w:pos="634"/>
        </w:tabs>
        <w:ind w:left="633" w:hanging="422"/>
        <w:rPr>
          <w:rFonts w:ascii="Times New Roman" w:eastAsia="Times New Roman"/>
          <w:color w:val="auto"/>
        </w:rPr>
      </w:pPr>
      <w:bookmarkStart w:id="160" w:name="9.1_施工控制网"/>
      <w:bookmarkEnd w:id="160"/>
      <w:r>
        <w:rPr>
          <w:color w:val="auto"/>
        </w:rPr>
        <w:t>施工控制网</w:t>
      </w:r>
    </w:p>
    <w:p>
      <w:pPr>
        <w:pStyle w:val="44"/>
        <w:numPr>
          <w:ilvl w:val="2"/>
          <w:numId w:val="22"/>
        </w:numPr>
        <w:tabs>
          <w:tab w:val="left" w:pos="1162"/>
        </w:tabs>
        <w:spacing w:before="181" w:line="417" w:lineRule="auto"/>
        <w:ind w:left="212" w:right="426" w:firstLine="420"/>
        <w:jc w:val="both"/>
        <w:rPr>
          <w:color w:val="auto"/>
          <w:sz w:val="21"/>
        </w:rPr>
      </w:pPr>
      <w:r>
        <w:rPr>
          <w:color w:val="auto"/>
          <w:sz w:val="21"/>
        </w:rPr>
        <w:t>发包人应在专用合同条款约定的期限内，通过监理人向承包人提供测量基准点、基准线和水准</w:t>
      </w:r>
      <w:r>
        <w:rPr>
          <w:color w:val="auto"/>
          <w:spacing w:val="-6"/>
          <w:sz w:val="21"/>
        </w:rPr>
        <w:t>点及其书面资料。除专用合同条款另有约定外，承包人应根据国家测绘基准、测绘系统和工程测量技术规</w:t>
      </w:r>
      <w:r>
        <w:rPr>
          <w:color w:val="auto"/>
          <w:spacing w:val="-5"/>
          <w:sz w:val="21"/>
        </w:rPr>
        <w:t>范，按上述基准点</w:t>
      </w:r>
      <w:r>
        <w:rPr>
          <w:color w:val="auto"/>
          <w:spacing w:val="-3"/>
          <w:sz w:val="21"/>
        </w:rPr>
        <w:t>（</w:t>
      </w:r>
      <w:r>
        <w:rPr>
          <w:color w:val="auto"/>
          <w:sz w:val="21"/>
        </w:rPr>
        <w:t>线</w:t>
      </w:r>
      <w:r>
        <w:rPr>
          <w:color w:val="auto"/>
          <w:spacing w:val="-8"/>
          <w:sz w:val="21"/>
        </w:rPr>
        <w:t>）</w:t>
      </w:r>
      <w:r>
        <w:rPr>
          <w:color w:val="auto"/>
          <w:spacing w:val="-5"/>
          <w:sz w:val="21"/>
        </w:rPr>
        <w:t>以及合同工程精度要求，测设施工控制网，并在专用合同条款约定的期限内，将</w:t>
      </w:r>
      <w:r>
        <w:rPr>
          <w:color w:val="auto"/>
          <w:spacing w:val="-4"/>
          <w:sz w:val="21"/>
        </w:rPr>
        <w:t xml:space="preserve">施工控制网资料报送监理人批准。 </w:t>
      </w:r>
    </w:p>
    <w:p>
      <w:pPr>
        <w:pStyle w:val="44"/>
        <w:numPr>
          <w:ilvl w:val="2"/>
          <w:numId w:val="22"/>
        </w:numPr>
        <w:tabs>
          <w:tab w:val="left" w:pos="1057"/>
        </w:tabs>
        <w:spacing w:line="417" w:lineRule="auto"/>
        <w:ind w:left="212" w:right="432" w:firstLine="420"/>
        <w:rPr>
          <w:color w:val="auto"/>
          <w:sz w:val="21"/>
        </w:rPr>
      </w:pPr>
      <w:r>
        <w:rPr>
          <w:color w:val="auto"/>
          <w:spacing w:val="-1"/>
          <w:sz w:val="21"/>
        </w:rPr>
        <w:t>承包人应负责管理施工控制网点。施工控制网点丢失或损坏的，承包人应及时修复。承包人应</w:t>
      </w:r>
      <w:r>
        <w:rPr>
          <w:color w:val="auto"/>
          <w:spacing w:val="-3"/>
          <w:sz w:val="21"/>
        </w:rPr>
        <w:t xml:space="preserve">承担施工控制网点的管理与修复费用，并在工程竣工后将施工控制网点移交发包人。 </w:t>
      </w:r>
    </w:p>
    <w:p>
      <w:pPr>
        <w:pStyle w:val="41"/>
        <w:numPr>
          <w:ilvl w:val="1"/>
          <w:numId w:val="22"/>
        </w:numPr>
        <w:tabs>
          <w:tab w:val="left" w:pos="634"/>
        </w:tabs>
        <w:spacing w:line="287" w:lineRule="exact"/>
        <w:ind w:left="633" w:hanging="422"/>
        <w:rPr>
          <w:rFonts w:ascii="Times New Roman" w:eastAsia="Times New Roman"/>
          <w:color w:val="auto"/>
        </w:rPr>
      </w:pPr>
      <w:bookmarkStart w:id="161" w:name="9.2_施工测量"/>
      <w:bookmarkEnd w:id="161"/>
      <w:r>
        <w:rPr>
          <w:color w:val="auto"/>
        </w:rPr>
        <w:t>施工测量</w:t>
      </w:r>
    </w:p>
    <w:p>
      <w:pPr>
        <w:pStyle w:val="44"/>
        <w:numPr>
          <w:ilvl w:val="2"/>
          <w:numId w:val="22"/>
        </w:numPr>
        <w:tabs>
          <w:tab w:val="left" w:pos="1162"/>
        </w:tabs>
        <w:spacing w:before="180" w:line="417" w:lineRule="auto"/>
        <w:ind w:left="212" w:right="432" w:firstLine="420"/>
        <w:rPr>
          <w:color w:val="auto"/>
          <w:sz w:val="21"/>
        </w:rPr>
      </w:pPr>
      <w:r>
        <w:rPr>
          <w:color w:val="auto"/>
          <w:spacing w:val="-1"/>
          <w:sz w:val="21"/>
        </w:rPr>
        <w:t>承包人应负责施工过程中的全部施工测量放线工作，并配置合格的人员、仪器、设备和其他物</w:t>
      </w:r>
      <w:r>
        <w:rPr>
          <w:color w:val="auto"/>
          <w:sz w:val="21"/>
        </w:rPr>
        <w:t xml:space="preserve">品。 </w:t>
      </w:r>
    </w:p>
    <w:p>
      <w:pPr>
        <w:pStyle w:val="44"/>
        <w:numPr>
          <w:ilvl w:val="2"/>
          <w:numId w:val="22"/>
        </w:numPr>
        <w:tabs>
          <w:tab w:val="left" w:pos="1162"/>
        </w:tabs>
        <w:spacing w:line="417" w:lineRule="auto"/>
        <w:ind w:left="212" w:right="432" w:firstLine="420"/>
        <w:rPr>
          <w:color w:val="auto"/>
          <w:sz w:val="21"/>
        </w:rPr>
      </w:pPr>
      <w:r>
        <w:rPr>
          <w:color w:val="auto"/>
          <w:spacing w:val="-1"/>
          <w:sz w:val="21"/>
        </w:rPr>
        <w:t>监理人可以指示承包人进行抽样复测，当复测中发现错误或出现超过合同约定的误差时，承包</w:t>
      </w:r>
      <w:r>
        <w:rPr>
          <w:color w:val="auto"/>
          <w:spacing w:val="-3"/>
          <w:sz w:val="21"/>
        </w:rPr>
        <w:t xml:space="preserve">人应按监理人指示进行修正或补测，并承担相应的复测费用。 </w:t>
      </w:r>
    </w:p>
    <w:p>
      <w:pPr>
        <w:pStyle w:val="41"/>
        <w:numPr>
          <w:ilvl w:val="1"/>
          <w:numId w:val="22"/>
        </w:numPr>
        <w:tabs>
          <w:tab w:val="left" w:pos="634"/>
        </w:tabs>
        <w:spacing w:line="287" w:lineRule="exact"/>
        <w:ind w:left="633" w:hanging="422"/>
        <w:rPr>
          <w:rFonts w:ascii="Times New Roman" w:eastAsia="Times New Roman"/>
          <w:color w:val="auto"/>
        </w:rPr>
      </w:pPr>
      <w:bookmarkStart w:id="162" w:name="9.3_基准资料错误的责任"/>
      <w:bookmarkEnd w:id="162"/>
      <w:r>
        <w:rPr>
          <w:color w:val="auto"/>
        </w:rPr>
        <w:t>基准资料错误的责任</w:t>
      </w:r>
    </w:p>
    <w:p>
      <w:pPr>
        <w:pStyle w:val="8"/>
        <w:spacing w:before="179" w:line="417" w:lineRule="auto"/>
        <w:ind w:left="212" w:right="320" w:firstLine="420"/>
        <w:rPr>
          <w:color w:val="auto"/>
        </w:rPr>
      </w:pPr>
      <w:r>
        <w:rPr>
          <w:color w:val="auto"/>
          <w:spacing w:val="-6"/>
        </w:rPr>
        <w:t>发包人应对其提供的测量基准点、基准线和水准点及其书面资料的真实性、准确性和完整性负责，对其提供上述基准资料错误导致承包人损失的，发包人应当承担由此增加的费用和</w:t>
      </w:r>
      <w:r>
        <w:rPr>
          <w:color w:val="auto"/>
        </w:rPr>
        <w:t>（</w:t>
      </w:r>
      <w:r>
        <w:rPr>
          <w:color w:val="auto"/>
          <w:spacing w:val="-3"/>
        </w:rPr>
        <w:t>或</w:t>
      </w:r>
      <w:r>
        <w:rPr>
          <w:color w:val="auto"/>
          <w:spacing w:val="-8"/>
        </w:rPr>
        <w:t>）</w:t>
      </w:r>
      <w:r>
        <w:rPr>
          <w:color w:val="auto"/>
          <w:spacing w:val="-4"/>
        </w:rPr>
        <w:t>工期延误，并向承</w:t>
      </w:r>
      <w:r>
        <w:rPr>
          <w:color w:val="auto"/>
          <w:spacing w:val="-12"/>
        </w:rPr>
        <w:t xml:space="preserve">包人支付合理利润。承包人应在设计或施工中对上述资料的准确性进行核实，发现存在明显错误或疏忽的， </w:t>
      </w:r>
      <w:r>
        <w:rPr>
          <w:color w:val="auto"/>
          <w:spacing w:val="-6"/>
        </w:rPr>
        <w:t>应及时通知监理人。</w:t>
      </w:r>
      <w:r>
        <w:rPr>
          <w:color w:val="auto"/>
        </w:rPr>
        <w:t xml:space="preserve"> </w:t>
      </w:r>
    </w:p>
    <w:p>
      <w:pPr>
        <w:pStyle w:val="41"/>
        <w:numPr>
          <w:ilvl w:val="1"/>
          <w:numId w:val="22"/>
        </w:numPr>
        <w:tabs>
          <w:tab w:val="left" w:pos="634"/>
        </w:tabs>
        <w:spacing w:line="286" w:lineRule="exact"/>
        <w:ind w:left="633" w:hanging="422"/>
        <w:rPr>
          <w:rFonts w:ascii="Times New Roman" w:eastAsia="Times New Roman"/>
          <w:color w:val="auto"/>
        </w:rPr>
      </w:pPr>
      <w:bookmarkStart w:id="163" w:name="9.4_监理人使用施工控制网"/>
      <w:bookmarkEnd w:id="163"/>
      <w:r>
        <w:rPr>
          <w:color w:val="auto"/>
        </w:rPr>
        <w:t>监理人使用施工控制网</w:t>
      </w:r>
    </w:p>
    <w:p>
      <w:pPr>
        <w:pStyle w:val="8"/>
        <w:spacing w:before="181"/>
        <w:ind w:left="633"/>
        <w:rPr>
          <w:color w:val="auto"/>
        </w:rPr>
      </w:pPr>
      <w:r>
        <w:rPr>
          <w:color w:val="auto"/>
        </w:rPr>
        <w:t xml:space="preserve">监理人需要使用施工控制网的，承包人应提供必要的协助，发包人不再为此支付费用。 </w:t>
      </w:r>
    </w:p>
    <w:p>
      <w:pPr>
        <w:pStyle w:val="8"/>
        <w:rPr>
          <w:color w:val="auto"/>
          <w:sz w:val="20"/>
        </w:rPr>
      </w:pPr>
    </w:p>
    <w:p>
      <w:pPr>
        <w:pStyle w:val="8"/>
        <w:spacing w:before="4"/>
        <w:rPr>
          <w:color w:val="auto"/>
          <w:sz w:val="16"/>
        </w:rPr>
      </w:pPr>
    </w:p>
    <w:p>
      <w:pPr>
        <w:pStyle w:val="37"/>
        <w:numPr>
          <w:ilvl w:val="0"/>
          <w:numId w:val="22"/>
        </w:numPr>
        <w:tabs>
          <w:tab w:val="left" w:pos="828"/>
        </w:tabs>
        <w:spacing w:before="1"/>
        <w:ind w:left="827" w:hanging="616"/>
        <w:rPr>
          <w:rFonts w:ascii="Cambria" w:eastAsia="Cambria"/>
          <w:color w:val="auto"/>
        </w:rPr>
      </w:pPr>
      <w:bookmarkStart w:id="164" w:name="10._安全、治安保卫和环境保护"/>
      <w:bookmarkEnd w:id="164"/>
      <w:r>
        <w:rPr>
          <w:color w:val="auto"/>
        </w:rPr>
        <w:t>安全、治安保卫和环境保护</w:t>
      </w:r>
    </w:p>
    <w:p>
      <w:pPr>
        <w:pStyle w:val="8"/>
        <w:spacing w:before="11"/>
        <w:rPr>
          <w:b/>
          <w:color w:val="auto"/>
          <w:sz w:val="34"/>
        </w:rPr>
      </w:pPr>
    </w:p>
    <w:p>
      <w:pPr>
        <w:pStyle w:val="41"/>
        <w:numPr>
          <w:ilvl w:val="1"/>
          <w:numId w:val="22"/>
        </w:numPr>
        <w:tabs>
          <w:tab w:val="left" w:pos="754"/>
        </w:tabs>
        <w:spacing w:before="1"/>
        <w:ind w:hanging="542"/>
        <w:rPr>
          <w:rFonts w:ascii="Times New Roman" w:eastAsia="Times New Roman"/>
          <w:color w:val="auto"/>
        </w:rPr>
      </w:pPr>
      <w:bookmarkStart w:id="165" w:name="10.1_发包人的安全责任"/>
      <w:bookmarkEnd w:id="165"/>
      <w:r>
        <w:rPr>
          <w:color w:val="auto"/>
        </w:rPr>
        <w:t>发包人的安全责任</w:t>
      </w:r>
    </w:p>
    <w:p>
      <w:pPr>
        <w:pStyle w:val="44"/>
        <w:numPr>
          <w:ilvl w:val="2"/>
          <w:numId w:val="22"/>
        </w:numPr>
        <w:tabs>
          <w:tab w:val="left" w:pos="1163"/>
        </w:tabs>
        <w:spacing w:before="181" w:line="417" w:lineRule="auto"/>
        <w:ind w:left="212" w:right="426" w:firstLine="420"/>
        <w:rPr>
          <w:color w:val="auto"/>
          <w:sz w:val="21"/>
        </w:rPr>
      </w:pPr>
      <w:r>
        <w:rPr>
          <w:color w:val="auto"/>
          <w:spacing w:val="-5"/>
          <w:sz w:val="21"/>
        </w:rPr>
        <w:t>发包人应按合同约定履行安全职责，授权监理人按合同约定的安全工作内容监督、检查承包人</w:t>
      </w:r>
      <w:r>
        <w:rPr>
          <w:color w:val="auto"/>
          <w:spacing w:val="-4"/>
          <w:sz w:val="21"/>
        </w:rPr>
        <w:t xml:space="preserve">安全工作的实施，组织承包人和有关单位进行安全检查。 </w:t>
      </w:r>
    </w:p>
    <w:p>
      <w:pPr>
        <w:pStyle w:val="44"/>
        <w:numPr>
          <w:ilvl w:val="2"/>
          <w:numId w:val="22"/>
        </w:numPr>
        <w:tabs>
          <w:tab w:val="left" w:pos="1163"/>
        </w:tabs>
        <w:spacing w:line="417" w:lineRule="auto"/>
        <w:ind w:left="212" w:right="426" w:firstLine="420"/>
        <w:rPr>
          <w:color w:val="auto"/>
          <w:sz w:val="21"/>
        </w:rPr>
      </w:pPr>
      <w:r>
        <w:rPr>
          <w:color w:val="auto"/>
          <w:spacing w:val="-4"/>
          <w:sz w:val="21"/>
        </w:rPr>
        <w:t>发包人应对其现场机构雇佣的全部人员的工伤事故承担责任，但由于承包人原因造成发包人人</w:t>
      </w:r>
      <w:r>
        <w:rPr>
          <w:color w:val="auto"/>
          <w:spacing w:val="-3"/>
          <w:sz w:val="21"/>
        </w:rPr>
        <w:t xml:space="preserve">员工伤的，应由承包人承担责任。 </w:t>
      </w:r>
    </w:p>
    <w:p>
      <w:pPr>
        <w:spacing w:line="417" w:lineRule="auto"/>
        <w:rPr>
          <w:color w:val="auto"/>
          <w:sz w:val="21"/>
        </w:rPr>
        <w:sectPr>
          <w:pgSz w:w="11910" w:h="16840"/>
          <w:pgMar w:top="1560" w:right="700" w:bottom="1180" w:left="920" w:header="0" w:footer="995" w:gutter="0"/>
          <w:cols w:space="720" w:num="1"/>
        </w:sectPr>
      </w:pPr>
    </w:p>
    <w:p>
      <w:pPr>
        <w:pStyle w:val="44"/>
        <w:numPr>
          <w:ilvl w:val="2"/>
          <w:numId w:val="22"/>
        </w:numPr>
        <w:tabs>
          <w:tab w:val="left" w:pos="1163"/>
        </w:tabs>
        <w:spacing w:before="65"/>
        <w:ind w:left="1162" w:hanging="530"/>
        <w:rPr>
          <w:color w:val="auto"/>
          <w:sz w:val="21"/>
        </w:rPr>
      </w:pPr>
      <w:r>
        <w:rPr>
          <w:color w:val="auto"/>
          <w:spacing w:val="-3"/>
          <w:sz w:val="21"/>
        </w:rPr>
        <w:t>发包人应负责赔偿以下各种情况造成的第三者人身伤亡和财产损失：</w:t>
      </w:r>
      <w:r>
        <w:rPr>
          <w:color w:val="auto"/>
          <w:sz w:val="21"/>
        </w:rPr>
        <w:t xml:space="preserve"> </w:t>
      </w:r>
    </w:p>
    <w:p>
      <w:pPr>
        <w:pStyle w:val="8"/>
        <w:spacing w:before="7"/>
        <w:rPr>
          <w:color w:val="auto"/>
          <w:sz w:val="15"/>
        </w:rPr>
      </w:pPr>
    </w:p>
    <w:p>
      <w:pPr>
        <w:pStyle w:val="44"/>
        <w:numPr>
          <w:ilvl w:val="0"/>
          <w:numId w:val="31"/>
        </w:numPr>
        <w:tabs>
          <w:tab w:val="left" w:pos="1163"/>
        </w:tabs>
        <w:ind w:hanging="530"/>
        <w:rPr>
          <w:color w:val="auto"/>
          <w:sz w:val="21"/>
        </w:rPr>
      </w:pPr>
      <w:r>
        <w:rPr>
          <w:color w:val="auto"/>
          <w:spacing w:val="-3"/>
          <w:sz w:val="21"/>
        </w:rPr>
        <w:t>工程或工程的任何部分对土地的占用所造成的第三者财产损失；</w:t>
      </w:r>
    </w:p>
    <w:p>
      <w:pPr>
        <w:pStyle w:val="8"/>
        <w:spacing w:before="7"/>
        <w:rPr>
          <w:color w:val="auto"/>
          <w:sz w:val="15"/>
        </w:rPr>
      </w:pPr>
    </w:p>
    <w:p>
      <w:pPr>
        <w:pStyle w:val="44"/>
        <w:numPr>
          <w:ilvl w:val="0"/>
          <w:numId w:val="31"/>
        </w:numPr>
        <w:tabs>
          <w:tab w:val="left" w:pos="1163"/>
        </w:tabs>
        <w:ind w:hanging="530"/>
        <w:rPr>
          <w:color w:val="auto"/>
          <w:sz w:val="21"/>
        </w:rPr>
      </w:pPr>
      <w:r>
        <w:rPr>
          <w:color w:val="auto"/>
          <w:spacing w:val="-7"/>
          <w:sz w:val="21"/>
        </w:rPr>
        <w:t>由于发包人原因在施工场地及其毗邻地带、履行合同工作中造成的第三者人身伤亡和财产损失。</w:t>
      </w:r>
      <w:r>
        <w:rPr>
          <w:color w:val="auto"/>
          <w:sz w:val="21"/>
        </w:rPr>
        <w:t xml:space="preserve"> </w:t>
      </w:r>
    </w:p>
    <w:p>
      <w:pPr>
        <w:pStyle w:val="41"/>
        <w:numPr>
          <w:ilvl w:val="1"/>
          <w:numId w:val="22"/>
        </w:numPr>
        <w:tabs>
          <w:tab w:val="left" w:pos="754"/>
        </w:tabs>
        <w:spacing w:before="178"/>
        <w:ind w:hanging="542"/>
        <w:rPr>
          <w:rFonts w:ascii="Times New Roman" w:eastAsia="Times New Roman"/>
          <w:color w:val="auto"/>
        </w:rPr>
      </w:pPr>
      <w:bookmarkStart w:id="166" w:name="10.2_承包人的安全责任"/>
      <w:bookmarkEnd w:id="166"/>
      <w:r>
        <w:rPr>
          <w:color w:val="auto"/>
        </w:rPr>
        <w:t>承包人的安全责任</w:t>
      </w:r>
    </w:p>
    <w:p>
      <w:pPr>
        <w:pStyle w:val="44"/>
        <w:numPr>
          <w:ilvl w:val="2"/>
          <w:numId w:val="22"/>
        </w:numPr>
        <w:tabs>
          <w:tab w:val="left" w:pos="1163"/>
        </w:tabs>
        <w:spacing w:before="181" w:line="417" w:lineRule="auto"/>
        <w:ind w:left="212" w:right="426" w:firstLine="420"/>
        <w:rPr>
          <w:color w:val="auto"/>
          <w:sz w:val="21"/>
        </w:rPr>
      </w:pPr>
      <w:r>
        <w:rPr>
          <w:color w:val="auto"/>
          <w:spacing w:val="-5"/>
          <w:sz w:val="21"/>
        </w:rPr>
        <w:t>承包人应按合同约定履行安全职责，执行监理人有关安全工作的指示，并在专用合同条款约定</w:t>
      </w:r>
      <w:r>
        <w:rPr>
          <w:color w:val="auto"/>
          <w:spacing w:val="-4"/>
          <w:sz w:val="21"/>
        </w:rPr>
        <w:t xml:space="preserve">的期限内，按合同约定的安全工作内容，编制安全措施计划报送监理人批准。 </w:t>
      </w:r>
    </w:p>
    <w:p>
      <w:pPr>
        <w:pStyle w:val="44"/>
        <w:numPr>
          <w:ilvl w:val="2"/>
          <w:numId w:val="22"/>
        </w:numPr>
        <w:tabs>
          <w:tab w:val="left" w:pos="1163"/>
        </w:tabs>
        <w:spacing w:line="417" w:lineRule="auto"/>
        <w:ind w:left="212" w:right="426" w:firstLine="420"/>
        <w:rPr>
          <w:color w:val="auto"/>
          <w:sz w:val="21"/>
        </w:rPr>
      </w:pPr>
      <w:r>
        <w:rPr>
          <w:color w:val="auto"/>
          <w:spacing w:val="-6"/>
          <w:sz w:val="21"/>
        </w:rPr>
        <w:t>承包人按照合同约定需要进行勘察的，应严格执行操作规程，采取措施保证各类管线、设施和</w:t>
      </w:r>
      <w:r>
        <w:rPr>
          <w:color w:val="auto"/>
          <w:spacing w:val="-4"/>
          <w:sz w:val="21"/>
        </w:rPr>
        <w:t xml:space="preserve">周边建筑物、构筑物的安全。 </w:t>
      </w:r>
    </w:p>
    <w:p>
      <w:pPr>
        <w:pStyle w:val="44"/>
        <w:numPr>
          <w:ilvl w:val="2"/>
          <w:numId w:val="22"/>
        </w:numPr>
        <w:tabs>
          <w:tab w:val="left" w:pos="1163"/>
        </w:tabs>
        <w:spacing w:line="417" w:lineRule="auto"/>
        <w:ind w:left="212" w:right="426" w:firstLine="420"/>
        <w:jc w:val="both"/>
        <w:rPr>
          <w:color w:val="auto"/>
          <w:sz w:val="21"/>
        </w:rPr>
      </w:pPr>
      <w:r>
        <w:rPr>
          <w:color w:val="auto"/>
          <w:spacing w:val="-5"/>
          <w:sz w:val="21"/>
        </w:rPr>
        <w:t>承包人应当按照法律、法规和工程建设强制性标准进行设计，在设计文件中注明涉及施工安全</w:t>
      </w:r>
      <w:r>
        <w:rPr>
          <w:color w:val="auto"/>
          <w:spacing w:val="-7"/>
          <w:sz w:val="21"/>
        </w:rPr>
        <w:t>的重点部位和环节，提出保障施工作业人员和预防安全事故的措施建议，防止因设计不合理导致生产安全</w:t>
      </w:r>
      <w:r>
        <w:rPr>
          <w:color w:val="auto"/>
          <w:spacing w:val="-5"/>
          <w:sz w:val="21"/>
        </w:rPr>
        <w:t>事故的发生。</w:t>
      </w:r>
      <w:r>
        <w:rPr>
          <w:color w:val="auto"/>
          <w:sz w:val="21"/>
        </w:rPr>
        <w:t xml:space="preserve"> </w:t>
      </w:r>
    </w:p>
    <w:p>
      <w:pPr>
        <w:pStyle w:val="44"/>
        <w:numPr>
          <w:ilvl w:val="2"/>
          <w:numId w:val="22"/>
        </w:numPr>
        <w:tabs>
          <w:tab w:val="left" w:pos="1163"/>
        </w:tabs>
        <w:spacing w:line="417" w:lineRule="auto"/>
        <w:ind w:left="212" w:right="428" w:firstLine="420"/>
        <w:rPr>
          <w:color w:val="auto"/>
          <w:sz w:val="21"/>
        </w:rPr>
      </w:pPr>
      <w:r>
        <w:rPr>
          <w:color w:val="auto"/>
          <w:spacing w:val="-6"/>
          <w:sz w:val="21"/>
        </w:rPr>
        <w:t>承包人应加强施工作业安全管理，特别应加强易燃、易爆材料、火工器材、有毒与腐蚀性材料</w:t>
      </w:r>
      <w:r>
        <w:rPr>
          <w:color w:val="auto"/>
          <w:spacing w:val="-4"/>
          <w:sz w:val="21"/>
        </w:rPr>
        <w:t>和其他危险品的管理，以及对爆破作业和地下工程施工等危险作业的管理。</w:t>
      </w:r>
      <w:r>
        <w:rPr>
          <w:color w:val="auto"/>
          <w:sz w:val="21"/>
        </w:rPr>
        <w:t xml:space="preserve"> </w:t>
      </w:r>
    </w:p>
    <w:p>
      <w:pPr>
        <w:pStyle w:val="44"/>
        <w:numPr>
          <w:ilvl w:val="2"/>
          <w:numId w:val="22"/>
        </w:numPr>
        <w:tabs>
          <w:tab w:val="left" w:pos="1163"/>
        </w:tabs>
        <w:spacing w:line="417" w:lineRule="auto"/>
        <w:ind w:left="212" w:right="439" w:firstLine="420"/>
        <w:rPr>
          <w:color w:val="auto"/>
          <w:sz w:val="21"/>
        </w:rPr>
      </w:pPr>
      <w:r>
        <w:rPr>
          <w:color w:val="auto"/>
          <w:sz w:val="21"/>
        </w:rPr>
        <w:t xml:space="preserve">承包人应严格按照国家安全标准制定施工安全操作规程，配备必要的安全生产和劳动保护设 </w:t>
      </w:r>
      <w:r>
        <w:rPr>
          <w:color w:val="auto"/>
          <w:spacing w:val="-3"/>
          <w:sz w:val="21"/>
        </w:rPr>
        <w:t>施，加强对承包人人员的安全教育，并发放安全工作手册和劳动保护用具。</w:t>
      </w:r>
      <w:r>
        <w:rPr>
          <w:color w:val="auto"/>
          <w:sz w:val="21"/>
        </w:rPr>
        <w:t xml:space="preserve"> </w:t>
      </w:r>
    </w:p>
    <w:p>
      <w:pPr>
        <w:pStyle w:val="44"/>
        <w:numPr>
          <w:ilvl w:val="2"/>
          <w:numId w:val="22"/>
        </w:numPr>
        <w:tabs>
          <w:tab w:val="left" w:pos="1163"/>
        </w:tabs>
        <w:spacing w:line="417" w:lineRule="auto"/>
        <w:ind w:left="212" w:right="426" w:firstLine="420"/>
        <w:rPr>
          <w:color w:val="auto"/>
          <w:sz w:val="21"/>
        </w:rPr>
      </w:pPr>
      <w:r>
        <w:rPr>
          <w:color w:val="auto"/>
          <w:spacing w:val="-5"/>
          <w:sz w:val="21"/>
        </w:rPr>
        <w:t>承包人应按监理人的指示制定应对灾害的紧急预案，报送监理人批准。承包人还应按预案做好</w:t>
      </w:r>
      <w:r>
        <w:rPr>
          <w:color w:val="auto"/>
          <w:spacing w:val="-4"/>
          <w:sz w:val="21"/>
        </w:rPr>
        <w:t>安全检查，配置必要的救助物资和器材，切实保护好有关人员的人身和财产安全。</w:t>
      </w:r>
      <w:r>
        <w:rPr>
          <w:color w:val="auto"/>
          <w:sz w:val="21"/>
        </w:rPr>
        <w:t xml:space="preserve"> </w:t>
      </w:r>
    </w:p>
    <w:p>
      <w:pPr>
        <w:pStyle w:val="44"/>
        <w:numPr>
          <w:ilvl w:val="2"/>
          <w:numId w:val="22"/>
        </w:numPr>
        <w:tabs>
          <w:tab w:val="left" w:pos="1163"/>
        </w:tabs>
        <w:spacing w:line="417" w:lineRule="auto"/>
        <w:ind w:left="212" w:right="325" w:firstLine="420"/>
        <w:rPr>
          <w:color w:val="auto"/>
          <w:sz w:val="21"/>
        </w:rPr>
      </w:pPr>
      <w:r>
        <w:rPr>
          <w:color w:val="auto"/>
          <w:spacing w:val="-4"/>
          <w:sz w:val="21"/>
        </w:rPr>
        <w:t>合同约定的安全作业环境及安全施工措施所需费用应遵守有关规定，并包括在相关工作的合同价</w:t>
      </w:r>
      <w:r>
        <w:rPr>
          <w:color w:val="auto"/>
          <w:spacing w:val="-16"/>
          <w:sz w:val="21"/>
        </w:rPr>
        <w:t xml:space="preserve">格中。因采取合同未约定的安全作业环境及安全施工措施增加的费用，由监理人按第 </w:t>
      </w:r>
      <w:r>
        <w:rPr>
          <w:color w:val="auto"/>
          <w:sz w:val="21"/>
        </w:rPr>
        <w:t>3.5</w:t>
      </w:r>
      <w:r>
        <w:rPr>
          <w:color w:val="auto"/>
          <w:spacing w:val="-16"/>
          <w:sz w:val="21"/>
        </w:rPr>
        <w:t xml:space="preserve"> 款商定或确定。</w:t>
      </w:r>
      <w:r>
        <w:rPr>
          <w:color w:val="auto"/>
          <w:sz w:val="21"/>
        </w:rPr>
        <w:t xml:space="preserve"> </w:t>
      </w:r>
    </w:p>
    <w:p>
      <w:pPr>
        <w:pStyle w:val="44"/>
        <w:numPr>
          <w:ilvl w:val="2"/>
          <w:numId w:val="22"/>
        </w:numPr>
        <w:tabs>
          <w:tab w:val="left" w:pos="1163"/>
        </w:tabs>
        <w:spacing w:line="417" w:lineRule="auto"/>
        <w:ind w:left="212" w:right="426" w:firstLine="420"/>
        <w:rPr>
          <w:color w:val="auto"/>
          <w:sz w:val="21"/>
        </w:rPr>
      </w:pPr>
      <w:r>
        <w:rPr>
          <w:color w:val="auto"/>
          <w:spacing w:val="-5"/>
          <w:sz w:val="21"/>
        </w:rPr>
        <w:t>承包人应对其履行合同所雇佣的全部人员，包括分包人人员的工伤事故承担责任，但由于发包</w:t>
      </w:r>
      <w:r>
        <w:rPr>
          <w:color w:val="auto"/>
          <w:spacing w:val="-4"/>
          <w:sz w:val="21"/>
        </w:rPr>
        <w:t xml:space="preserve">人原因造成承包人人员工伤事故的，应由发包人承担责任。 </w:t>
      </w:r>
    </w:p>
    <w:p>
      <w:pPr>
        <w:pStyle w:val="44"/>
        <w:numPr>
          <w:ilvl w:val="2"/>
          <w:numId w:val="22"/>
        </w:numPr>
        <w:tabs>
          <w:tab w:val="left" w:pos="1163"/>
        </w:tabs>
        <w:spacing w:line="417" w:lineRule="auto"/>
        <w:ind w:left="212" w:right="426" w:firstLine="420"/>
        <w:rPr>
          <w:color w:val="auto"/>
          <w:sz w:val="21"/>
        </w:rPr>
      </w:pPr>
      <w:r>
        <w:rPr>
          <w:color w:val="auto"/>
          <w:spacing w:val="-4"/>
          <w:sz w:val="21"/>
        </w:rPr>
        <w:t xml:space="preserve">由于承包人原因在施工场地内及其毗邻地带造成的第三者人员伤亡和财产损失，由承包人负责赔偿。 </w:t>
      </w:r>
    </w:p>
    <w:p>
      <w:pPr>
        <w:pStyle w:val="41"/>
        <w:numPr>
          <w:ilvl w:val="1"/>
          <w:numId w:val="22"/>
        </w:numPr>
        <w:tabs>
          <w:tab w:val="left" w:pos="754"/>
        </w:tabs>
        <w:spacing w:line="287" w:lineRule="exact"/>
        <w:ind w:hanging="542"/>
        <w:rPr>
          <w:rFonts w:ascii="Times New Roman" w:eastAsia="Times New Roman"/>
          <w:color w:val="auto"/>
        </w:rPr>
      </w:pPr>
      <w:bookmarkStart w:id="167" w:name="10.3_治安保卫"/>
      <w:bookmarkEnd w:id="167"/>
      <w:r>
        <w:rPr>
          <w:color w:val="auto"/>
        </w:rPr>
        <w:t>治安保卫</w:t>
      </w:r>
    </w:p>
    <w:p>
      <w:pPr>
        <w:pStyle w:val="44"/>
        <w:numPr>
          <w:ilvl w:val="2"/>
          <w:numId w:val="22"/>
        </w:numPr>
        <w:tabs>
          <w:tab w:val="left" w:pos="1163"/>
        </w:tabs>
        <w:spacing w:before="179" w:line="417" w:lineRule="auto"/>
        <w:ind w:left="212" w:right="426" w:firstLine="420"/>
        <w:rPr>
          <w:color w:val="auto"/>
          <w:sz w:val="21"/>
        </w:rPr>
      </w:pPr>
      <w:r>
        <w:rPr>
          <w:color w:val="auto"/>
          <w:spacing w:val="-6"/>
          <w:sz w:val="21"/>
        </w:rPr>
        <w:t>除合同另有约定外，承包人应与当地公安部门协商，在现场建立治安管理机构或联防组织，统</w:t>
      </w:r>
      <w:r>
        <w:rPr>
          <w:color w:val="auto"/>
          <w:spacing w:val="-4"/>
          <w:sz w:val="21"/>
        </w:rPr>
        <w:t xml:space="preserve">一管理施工场地的治安保卫事项，履行合同工程的治安保卫职责。 </w:t>
      </w:r>
    </w:p>
    <w:p>
      <w:pPr>
        <w:pStyle w:val="44"/>
        <w:numPr>
          <w:ilvl w:val="2"/>
          <w:numId w:val="22"/>
        </w:numPr>
        <w:tabs>
          <w:tab w:val="left" w:pos="1163"/>
        </w:tabs>
        <w:spacing w:line="417" w:lineRule="auto"/>
        <w:ind w:left="212" w:right="426" w:firstLine="420"/>
        <w:rPr>
          <w:color w:val="auto"/>
          <w:sz w:val="21"/>
        </w:rPr>
      </w:pPr>
      <w:r>
        <w:rPr>
          <w:color w:val="auto"/>
          <w:spacing w:val="-4"/>
          <w:sz w:val="21"/>
        </w:rPr>
        <w:t>发包人和承包人除应协助现场治安管理机构或联防组织维护施工场地的社会治安外，还应做好</w:t>
      </w:r>
      <w:r>
        <w:rPr>
          <w:color w:val="auto"/>
          <w:spacing w:val="-3"/>
          <w:sz w:val="21"/>
        </w:rPr>
        <w:t>包括生活区在内的各自管辖区的治安保卫工作。</w:t>
      </w:r>
      <w:r>
        <w:rPr>
          <w:color w:val="auto"/>
          <w:sz w:val="21"/>
        </w:rPr>
        <w:t xml:space="preserve"> </w:t>
      </w:r>
    </w:p>
    <w:p>
      <w:pPr>
        <w:pStyle w:val="44"/>
        <w:numPr>
          <w:ilvl w:val="2"/>
          <w:numId w:val="22"/>
        </w:numPr>
        <w:tabs>
          <w:tab w:val="left" w:pos="1163"/>
        </w:tabs>
        <w:spacing w:line="269" w:lineRule="exact"/>
        <w:ind w:left="1162" w:hanging="530"/>
        <w:rPr>
          <w:color w:val="auto"/>
          <w:sz w:val="21"/>
        </w:rPr>
      </w:pPr>
      <w:r>
        <w:rPr>
          <w:color w:val="auto"/>
          <w:spacing w:val="-6"/>
          <w:sz w:val="21"/>
        </w:rPr>
        <w:t>除合同另有约定外，承包人应编制施工场地治安管理计划，并制定应对突发治安事件的紧急预</w:t>
      </w:r>
    </w:p>
    <w:p>
      <w:pPr>
        <w:spacing w:line="269" w:lineRule="exact"/>
        <w:rPr>
          <w:color w:val="auto"/>
          <w:sz w:val="21"/>
        </w:rPr>
        <w:sectPr>
          <w:pgSz w:w="11910" w:h="16840"/>
          <w:pgMar w:top="1540" w:right="700" w:bottom="1180" w:left="920" w:header="0" w:footer="995" w:gutter="0"/>
          <w:cols w:space="720" w:num="1"/>
        </w:sectPr>
      </w:pPr>
    </w:p>
    <w:p>
      <w:pPr>
        <w:pStyle w:val="8"/>
        <w:spacing w:before="45" w:line="417" w:lineRule="auto"/>
        <w:ind w:left="212" w:right="427"/>
        <w:jc w:val="both"/>
        <w:rPr>
          <w:color w:val="auto"/>
        </w:rPr>
      </w:pPr>
      <w:r>
        <w:rPr>
          <w:color w:val="auto"/>
          <w:spacing w:val="-5"/>
        </w:rPr>
        <w:t>案，报监理人批准。自承包人进入施工现场，至发包人接收工程的期间，施工现场发生暴乱、爆炸等恐怖</w:t>
      </w:r>
      <w:r>
        <w:rPr>
          <w:color w:val="auto"/>
          <w:spacing w:val="-6"/>
        </w:rPr>
        <w:t>事件，以及群殴、械斗等群体性突发治安事件的，发包人和承包人应立即向当地政府报告。发包人和承包</w:t>
      </w:r>
      <w:r>
        <w:rPr>
          <w:color w:val="auto"/>
          <w:spacing w:val="-4"/>
        </w:rPr>
        <w:t>人应积极协助当地有关部门采取措施平息事态，防止事态扩大，尽量减少财产损失和避免人员伤亡。</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68" w:name="10.4_环境保护"/>
      <w:bookmarkEnd w:id="168"/>
      <w:r>
        <w:rPr>
          <w:color w:val="auto"/>
        </w:rPr>
        <w:t>环境保护</w:t>
      </w:r>
    </w:p>
    <w:p>
      <w:pPr>
        <w:pStyle w:val="44"/>
        <w:numPr>
          <w:ilvl w:val="2"/>
          <w:numId w:val="22"/>
        </w:numPr>
        <w:tabs>
          <w:tab w:val="left" w:pos="1163"/>
        </w:tabs>
        <w:spacing w:before="181" w:line="417" w:lineRule="auto"/>
        <w:ind w:left="212" w:right="426" w:firstLine="420"/>
        <w:rPr>
          <w:color w:val="auto"/>
          <w:sz w:val="21"/>
        </w:rPr>
      </w:pPr>
      <w:r>
        <w:rPr>
          <w:color w:val="auto"/>
          <w:spacing w:val="-6"/>
          <w:sz w:val="21"/>
        </w:rPr>
        <w:t>承包人在履行合同过程中，应遵守有关环境保护的法律，履行合同约定的环境保护义务，并对</w:t>
      </w:r>
      <w:r>
        <w:rPr>
          <w:color w:val="auto"/>
          <w:spacing w:val="-4"/>
          <w:sz w:val="21"/>
        </w:rPr>
        <w:t>违反法律和合同约定义务所造成的环境破坏、人身伤害和财产损失负责。</w:t>
      </w:r>
      <w:r>
        <w:rPr>
          <w:color w:val="auto"/>
          <w:sz w:val="21"/>
        </w:rPr>
        <w:t xml:space="preserve"> </w:t>
      </w:r>
    </w:p>
    <w:p>
      <w:pPr>
        <w:pStyle w:val="44"/>
        <w:numPr>
          <w:ilvl w:val="2"/>
          <w:numId w:val="22"/>
        </w:numPr>
        <w:tabs>
          <w:tab w:val="left" w:pos="1163"/>
        </w:tabs>
        <w:spacing w:line="269" w:lineRule="exact"/>
        <w:ind w:left="1162" w:hanging="530"/>
        <w:rPr>
          <w:color w:val="auto"/>
          <w:sz w:val="21"/>
        </w:rPr>
      </w:pPr>
      <w:r>
        <w:rPr>
          <w:color w:val="auto"/>
          <w:spacing w:val="-3"/>
          <w:sz w:val="21"/>
        </w:rPr>
        <w:t xml:space="preserve">承包人应按合同约定的环保工作内容，编制环保措施计划，报送监理人批准。 </w:t>
      </w:r>
    </w:p>
    <w:p>
      <w:pPr>
        <w:pStyle w:val="8"/>
        <w:spacing w:before="7"/>
        <w:rPr>
          <w:color w:val="auto"/>
          <w:sz w:val="15"/>
        </w:rPr>
      </w:pPr>
    </w:p>
    <w:p>
      <w:pPr>
        <w:pStyle w:val="44"/>
        <w:numPr>
          <w:ilvl w:val="2"/>
          <w:numId w:val="22"/>
        </w:numPr>
        <w:tabs>
          <w:tab w:val="left" w:pos="1265"/>
        </w:tabs>
        <w:spacing w:line="417" w:lineRule="auto"/>
        <w:ind w:left="212" w:right="426" w:firstLine="420"/>
        <w:rPr>
          <w:color w:val="auto"/>
          <w:sz w:val="21"/>
        </w:rPr>
      </w:pPr>
      <w:r>
        <w:rPr>
          <w:color w:val="auto"/>
          <w:spacing w:val="-6"/>
          <w:sz w:val="21"/>
        </w:rPr>
        <w:t>承包人应确保施工过程中产生的气体排放物、粉尘、噪声、地面排水及排污等，符合法律规定</w:t>
      </w:r>
      <w:r>
        <w:rPr>
          <w:color w:val="auto"/>
          <w:spacing w:val="-4"/>
          <w:sz w:val="21"/>
        </w:rPr>
        <w:t>和发包人要求。</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69" w:name="10.5_事故处理"/>
      <w:bookmarkEnd w:id="169"/>
      <w:r>
        <w:rPr>
          <w:color w:val="auto"/>
        </w:rPr>
        <w:t>事故处理</w:t>
      </w:r>
    </w:p>
    <w:p>
      <w:pPr>
        <w:pStyle w:val="8"/>
        <w:spacing w:before="181" w:line="417" w:lineRule="auto"/>
        <w:ind w:left="212" w:right="321" w:firstLine="420"/>
        <w:rPr>
          <w:color w:val="auto"/>
        </w:rPr>
      </w:pPr>
      <w:r>
        <w:rPr>
          <w:color w:val="auto"/>
          <w:spacing w:val="-6"/>
        </w:rPr>
        <w:t>合同履行过程中发生事故的，承包人应立即通知监理人，监理人应立即通知发包人。发包人和承包人</w:t>
      </w:r>
      <w:r>
        <w:rPr>
          <w:color w:val="auto"/>
          <w:spacing w:val="-10"/>
        </w:rPr>
        <w:t>应立即组织人员和设备进行紧急抢救和抢修，减少人员伤亡和财产损失，防止事故扩大，并保护事故现场。</w:t>
      </w:r>
      <w:r>
        <w:rPr>
          <w:color w:val="auto"/>
          <w:spacing w:val="-5"/>
        </w:rPr>
        <w:t xml:space="preserve">需要移动现场物品时，应作出标记和书面记录，妥善保管有关证据。发包人和承包人应按国家有关规定， </w:t>
      </w:r>
      <w:r>
        <w:rPr>
          <w:color w:val="auto"/>
          <w:spacing w:val="-4"/>
        </w:rPr>
        <w:t>及时如实地向有关部门报告事故发生的情况，以及正在采取的紧急措施等。</w:t>
      </w:r>
      <w:r>
        <w:rPr>
          <w:color w:val="auto"/>
        </w:rPr>
        <w:t xml:space="preserve"> </w:t>
      </w:r>
    </w:p>
    <w:p>
      <w:pPr>
        <w:pStyle w:val="8"/>
        <w:spacing w:before="10"/>
        <w:rPr>
          <w:color w:val="auto"/>
          <w:sz w:val="20"/>
        </w:rPr>
      </w:pPr>
    </w:p>
    <w:p>
      <w:pPr>
        <w:pStyle w:val="37"/>
        <w:numPr>
          <w:ilvl w:val="0"/>
          <w:numId w:val="22"/>
        </w:numPr>
        <w:tabs>
          <w:tab w:val="left" w:pos="828"/>
        </w:tabs>
        <w:ind w:left="827" w:hanging="616"/>
        <w:rPr>
          <w:rFonts w:ascii="Cambria" w:eastAsia="Cambria"/>
          <w:color w:val="auto"/>
        </w:rPr>
      </w:pPr>
      <w:bookmarkStart w:id="170" w:name="11._开始工作和竣工"/>
      <w:bookmarkEnd w:id="170"/>
      <w:r>
        <w:rPr>
          <w:color w:val="auto"/>
        </w:rPr>
        <w:t>开始工作和竣工</w:t>
      </w:r>
    </w:p>
    <w:p>
      <w:pPr>
        <w:pStyle w:val="8"/>
        <w:spacing w:before="10"/>
        <w:rPr>
          <w:b/>
          <w:color w:val="auto"/>
          <w:sz w:val="34"/>
        </w:rPr>
      </w:pPr>
    </w:p>
    <w:p>
      <w:pPr>
        <w:pStyle w:val="41"/>
        <w:numPr>
          <w:ilvl w:val="1"/>
          <w:numId w:val="22"/>
        </w:numPr>
        <w:tabs>
          <w:tab w:val="left" w:pos="754"/>
        </w:tabs>
        <w:ind w:hanging="542"/>
        <w:rPr>
          <w:rFonts w:ascii="Times New Roman" w:eastAsia="Times New Roman"/>
          <w:color w:val="auto"/>
        </w:rPr>
      </w:pPr>
      <w:r>
        <w:rPr>
          <w:color w:val="auto"/>
        </w:rPr>
        <w:t>开始工作</w:t>
      </w:r>
    </w:p>
    <w:p>
      <w:pPr>
        <w:pStyle w:val="8"/>
        <w:spacing w:before="181" w:line="417" w:lineRule="auto"/>
        <w:ind w:left="212" w:right="426" w:firstLine="420"/>
        <w:jc w:val="both"/>
        <w:rPr>
          <w:color w:val="auto"/>
        </w:rPr>
      </w:pPr>
      <w:r>
        <w:rPr>
          <w:color w:val="auto"/>
          <w:spacing w:val="-6"/>
        </w:rPr>
        <w:t xml:space="preserve">符合专用合同条款约定的开始工作的条件的，监理人应提前 </w:t>
      </w:r>
      <w:r>
        <w:rPr>
          <w:color w:val="auto"/>
        </w:rPr>
        <w:t>7</w:t>
      </w:r>
      <w:r>
        <w:rPr>
          <w:color w:val="auto"/>
          <w:spacing w:val="-8"/>
        </w:rPr>
        <w:t xml:space="preserve"> 天向承包人发出开始工作通知。监理人</w:t>
      </w:r>
      <w:r>
        <w:rPr>
          <w:color w:val="auto"/>
          <w:spacing w:val="-7"/>
        </w:rPr>
        <w:t>在发出开始工作通知前应获得发包人同意。工期自开始工作通知中载明的开始工作日期起计算。除专用合</w:t>
      </w:r>
      <w:r>
        <w:rPr>
          <w:color w:val="auto"/>
          <w:spacing w:val="-5"/>
        </w:rPr>
        <w:t xml:space="preserve">同条款另有约定外，因发包人原因造成监理人未能在合同签订之日起 </w:t>
      </w:r>
      <w:r>
        <w:rPr>
          <w:color w:val="auto"/>
        </w:rPr>
        <w:t>90</w:t>
      </w:r>
      <w:r>
        <w:rPr>
          <w:color w:val="auto"/>
          <w:spacing w:val="-3"/>
        </w:rPr>
        <w:t xml:space="preserve"> 天内发出开始工作通知的，承包</w:t>
      </w:r>
      <w:r>
        <w:rPr>
          <w:color w:val="auto"/>
          <w:spacing w:val="-5"/>
        </w:rPr>
        <w:t>人有权提出价格调整要求，或者解除合同。发包人应当承担由此增加的费用和</w:t>
      </w:r>
      <w:r>
        <w:rPr>
          <w:color w:val="auto"/>
        </w:rPr>
        <w:t>（</w:t>
      </w:r>
      <w:r>
        <w:rPr>
          <w:color w:val="auto"/>
          <w:spacing w:val="-3"/>
        </w:rPr>
        <w:t>或</w:t>
      </w:r>
      <w:r>
        <w:rPr>
          <w:color w:val="auto"/>
          <w:spacing w:val="-5"/>
        </w:rPr>
        <w:t>）</w:t>
      </w:r>
      <w:r>
        <w:rPr>
          <w:color w:val="auto"/>
          <w:spacing w:val="-4"/>
        </w:rPr>
        <w:t>工期延误，并向承包</w:t>
      </w:r>
      <w:r>
        <w:rPr>
          <w:color w:val="auto"/>
          <w:spacing w:val="-3"/>
        </w:rPr>
        <w:t>人支付合理利润。</w:t>
      </w:r>
      <w:r>
        <w:rPr>
          <w:color w:val="auto"/>
        </w:rPr>
        <w:t xml:space="preserve"> </w:t>
      </w:r>
    </w:p>
    <w:p>
      <w:pPr>
        <w:pStyle w:val="41"/>
        <w:numPr>
          <w:ilvl w:val="1"/>
          <w:numId w:val="22"/>
        </w:numPr>
        <w:tabs>
          <w:tab w:val="left" w:pos="754"/>
        </w:tabs>
        <w:spacing w:line="286" w:lineRule="exact"/>
        <w:ind w:hanging="542"/>
        <w:rPr>
          <w:rFonts w:ascii="Times New Roman" w:eastAsia="Times New Roman"/>
          <w:color w:val="auto"/>
        </w:rPr>
      </w:pPr>
      <w:bookmarkStart w:id="171" w:name="11.2_竣工"/>
      <w:bookmarkEnd w:id="171"/>
      <w:r>
        <w:rPr>
          <w:color w:val="auto"/>
        </w:rPr>
        <w:t>竣工</w:t>
      </w:r>
    </w:p>
    <w:p>
      <w:pPr>
        <w:pStyle w:val="8"/>
        <w:spacing w:before="181" w:line="417" w:lineRule="auto"/>
        <w:ind w:left="212" w:right="396" w:firstLine="420"/>
        <w:rPr>
          <w:color w:val="auto"/>
        </w:rPr>
      </w:pPr>
      <w:r>
        <w:rPr>
          <w:color w:val="auto"/>
        </w:rPr>
        <w:t xml:space="preserve">承包人应在第 </w:t>
      </w:r>
      <w:r>
        <w:rPr>
          <w:rFonts w:ascii="Times New Roman" w:eastAsia="Times New Roman"/>
          <w:color w:val="auto"/>
        </w:rPr>
        <w:t xml:space="preserve">1.1.4.3 </w:t>
      </w:r>
      <w:r>
        <w:rPr>
          <w:color w:val="auto"/>
        </w:rPr>
        <w:t xml:space="preserve">目约定的期限内完成合同工作。实际竣工日期按第 </w:t>
      </w:r>
      <w:r>
        <w:rPr>
          <w:rFonts w:ascii="Times New Roman" w:eastAsia="Times New Roman"/>
          <w:color w:val="auto"/>
        </w:rPr>
        <w:t xml:space="preserve">18.3 </w:t>
      </w:r>
      <w:r>
        <w:rPr>
          <w:color w:val="auto"/>
        </w:rPr>
        <w:t xml:space="preserve">款约定确定，并在工程接收证书中载明。 </w:t>
      </w:r>
    </w:p>
    <w:p>
      <w:pPr>
        <w:pStyle w:val="41"/>
        <w:numPr>
          <w:ilvl w:val="1"/>
          <w:numId w:val="22"/>
        </w:numPr>
        <w:tabs>
          <w:tab w:val="left" w:pos="754"/>
        </w:tabs>
        <w:spacing w:line="287" w:lineRule="exact"/>
        <w:ind w:hanging="542"/>
        <w:rPr>
          <w:rFonts w:ascii="Times New Roman" w:eastAsia="Times New Roman"/>
          <w:color w:val="auto"/>
        </w:rPr>
      </w:pPr>
      <w:bookmarkStart w:id="172" w:name="11.3_发包人引起的工期延误"/>
      <w:bookmarkEnd w:id="172"/>
      <w:r>
        <w:rPr>
          <w:color w:val="auto"/>
        </w:rPr>
        <w:t>发包人引起的工期延误</w:t>
      </w:r>
    </w:p>
    <w:p>
      <w:pPr>
        <w:pStyle w:val="8"/>
        <w:spacing w:before="181" w:line="417" w:lineRule="auto"/>
        <w:ind w:left="212" w:right="321" w:firstLine="420"/>
        <w:rPr>
          <w:color w:val="auto"/>
        </w:rPr>
      </w:pPr>
      <w:r>
        <w:rPr>
          <w:color w:val="auto"/>
          <w:spacing w:val="-11"/>
        </w:rPr>
        <w:t>在履行合同过程中，由于发包人的下列原因造成工期延误的，承包人有权要求发包人延长工期和</w:t>
      </w:r>
      <w:r>
        <w:rPr>
          <w:color w:val="auto"/>
        </w:rPr>
        <w:t xml:space="preserve">（或） </w:t>
      </w:r>
      <w:r>
        <w:rPr>
          <w:color w:val="auto"/>
          <w:spacing w:val="-5"/>
        </w:rPr>
        <w:t xml:space="preserve">增加费用，并支付合理利润。需要修订合同进度计划的，按照第 </w:t>
      </w:r>
      <w:r>
        <w:rPr>
          <w:rFonts w:ascii="Times New Roman" w:eastAsia="Times New Roman"/>
          <w:color w:val="auto"/>
        </w:rPr>
        <w:t xml:space="preserve">4.12.2 </w:t>
      </w:r>
      <w:r>
        <w:rPr>
          <w:color w:val="auto"/>
          <w:spacing w:val="-3"/>
        </w:rPr>
        <w:t xml:space="preserve">项的约定执行。 </w:t>
      </w:r>
    </w:p>
    <w:p>
      <w:pPr>
        <w:pStyle w:val="8"/>
        <w:spacing w:line="269" w:lineRule="exact"/>
        <w:ind w:left="633"/>
        <w:rPr>
          <w:color w:val="auto"/>
        </w:rPr>
      </w:pPr>
      <w:r>
        <w:rPr>
          <w:color w:val="auto"/>
        </w:rPr>
        <w:t>（</w:t>
      </w:r>
      <w:r>
        <w:rPr>
          <w:rFonts w:ascii="Times New Roman" w:eastAsia="Times New Roman"/>
          <w:color w:val="auto"/>
        </w:rPr>
        <w:t>l</w:t>
      </w:r>
      <w:r>
        <w:rPr>
          <w:color w:val="auto"/>
        </w:rPr>
        <w:t>）变更；</w:t>
      </w:r>
    </w:p>
    <w:p>
      <w:pPr>
        <w:spacing w:line="269" w:lineRule="exact"/>
        <w:rPr>
          <w:color w:val="auto"/>
        </w:rPr>
        <w:sectPr>
          <w:pgSz w:w="11910" w:h="16840"/>
          <w:pgMar w:top="1560" w:right="700" w:bottom="1180" w:left="920" w:header="0" w:footer="995" w:gutter="0"/>
          <w:cols w:space="720" w:num="1"/>
        </w:sectPr>
      </w:pPr>
    </w:p>
    <w:p>
      <w:pPr>
        <w:pStyle w:val="44"/>
        <w:numPr>
          <w:ilvl w:val="0"/>
          <w:numId w:val="32"/>
        </w:numPr>
        <w:tabs>
          <w:tab w:val="left" w:pos="1163"/>
        </w:tabs>
        <w:spacing w:before="65"/>
        <w:ind w:hanging="530"/>
        <w:rPr>
          <w:color w:val="auto"/>
          <w:sz w:val="21"/>
        </w:rPr>
      </w:pPr>
      <w:r>
        <w:rPr>
          <w:color w:val="auto"/>
          <w:spacing w:val="-3"/>
          <w:sz w:val="21"/>
        </w:rPr>
        <w:t>未能按照合同要求的期限对承包人文件进行审查；</w:t>
      </w:r>
    </w:p>
    <w:p>
      <w:pPr>
        <w:pStyle w:val="8"/>
        <w:spacing w:before="7"/>
        <w:rPr>
          <w:color w:val="auto"/>
          <w:sz w:val="15"/>
        </w:rPr>
      </w:pPr>
    </w:p>
    <w:p>
      <w:pPr>
        <w:pStyle w:val="44"/>
        <w:numPr>
          <w:ilvl w:val="0"/>
          <w:numId w:val="32"/>
        </w:numPr>
        <w:tabs>
          <w:tab w:val="left" w:pos="1163"/>
        </w:tabs>
        <w:ind w:hanging="530"/>
        <w:rPr>
          <w:color w:val="auto"/>
          <w:sz w:val="21"/>
        </w:rPr>
      </w:pPr>
      <w:r>
        <w:rPr>
          <w:color w:val="auto"/>
          <w:spacing w:val="-3"/>
          <w:sz w:val="21"/>
        </w:rPr>
        <w:t>因发包人原因导致的暂停施工；</w:t>
      </w:r>
    </w:p>
    <w:p>
      <w:pPr>
        <w:pStyle w:val="8"/>
        <w:spacing w:before="7"/>
        <w:rPr>
          <w:color w:val="auto"/>
          <w:sz w:val="15"/>
        </w:rPr>
      </w:pPr>
    </w:p>
    <w:p>
      <w:pPr>
        <w:pStyle w:val="8"/>
        <w:ind w:left="633"/>
        <w:rPr>
          <w:color w:val="auto"/>
        </w:rPr>
      </w:pPr>
      <w:r>
        <w:rPr>
          <w:color w:val="auto"/>
        </w:rPr>
        <w:t>（</w:t>
      </w:r>
      <w:r>
        <w:rPr>
          <w:rFonts w:ascii="Times New Roman" w:eastAsia="Times New Roman"/>
          <w:color w:val="auto"/>
        </w:rPr>
        <w:t>4)</w:t>
      </w:r>
      <w:r>
        <w:rPr>
          <w:rFonts w:ascii="Times New Roman" w:eastAsia="Times New Roman"/>
          <w:color w:val="auto"/>
          <w:spacing w:val="51"/>
        </w:rPr>
        <w:t xml:space="preserve"> </w:t>
      </w:r>
      <w:r>
        <w:rPr>
          <w:color w:val="auto"/>
          <w:spacing w:val="-3"/>
        </w:rPr>
        <w:t>未按合同约定及时支付预付款、进度款；</w:t>
      </w:r>
    </w:p>
    <w:p>
      <w:pPr>
        <w:pStyle w:val="8"/>
        <w:spacing w:before="6"/>
        <w:rPr>
          <w:color w:val="auto"/>
          <w:sz w:val="15"/>
        </w:rPr>
      </w:pPr>
    </w:p>
    <w:p>
      <w:pPr>
        <w:pStyle w:val="8"/>
        <w:spacing w:before="1"/>
        <w:ind w:left="633"/>
        <w:rPr>
          <w:color w:val="auto"/>
        </w:rPr>
      </w:pPr>
      <w:r>
        <w:rPr>
          <w:color w:val="auto"/>
        </w:rPr>
        <w:t>（</w:t>
      </w:r>
      <w:r>
        <w:rPr>
          <w:rFonts w:ascii="Times New Roman" w:eastAsia="Times New Roman"/>
          <w:color w:val="auto"/>
        </w:rPr>
        <w:t>5)</w:t>
      </w:r>
      <w:r>
        <w:rPr>
          <w:rFonts w:ascii="Times New Roman" w:eastAsia="Times New Roman"/>
          <w:color w:val="auto"/>
          <w:spacing w:val="51"/>
        </w:rPr>
        <w:t xml:space="preserve"> </w:t>
      </w:r>
      <w:r>
        <w:rPr>
          <w:color w:val="auto"/>
          <w:spacing w:val="-12"/>
        </w:rPr>
        <w:t xml:space="preserve">发包人按第 </w:t>
      </w:r>
      <w:r>
        <w:rPr>
          <w:rFonts w:ascii="Times New Roman" w:eastAsia="Times New Roman"/>
          <w:color w:val="auto"/>
        </w:rPr>
        <w:t xml:space="preserve">9.3 </w:t>
      </w:r>
      <w:r>
        <w:rPr>
          <w:color w:val="auto"/>
          <w:spacing w:val="-3"/>
        </w:rPr>
        <w:t>款提供的基准资料错误；</w:t>
      </w:r>
    </w:p>
    <w:p>
      <w:pPr>
        <w:pStyle w:val="8"/>
        <w:spacing w:before="6"/>
        <w:rPr>
          <w:color w:val="auto"/>
          <w:sz w:val="15"/>
        </w:rPr>
      </w:pPr>
    </w:p>
    <w:p>
      <w:pPr>
        <w:pStyle w:val="44"/>
        <w:numPr>
          <w:ilvl w:val="0"/>
          <w:numId w:val="33"/>
        </w:numPr>
        <w:tabs>
          <w:tab w:val="left" w:pos="1163"/>
        </w:tabs>
        <w:ind w:hanging="530"/>
        <w:rPr>
          <w:color w:val="auto"/>
          <w:sz w:val="21"/>
        </w:rPr>
      </w:pPr>
      <w:r>
        <w:rPr>
          <w:color w:val="auto"/>
          <w:spacing w:val="-12"/>
          <w:sz w:val="21"/>
        </w:rPr>
        <w:t xml:space="preserve">发包人按第 </w:t>
      </w:r>
      <w:r>
        <w:rPr>
          <w:rFonts w:ascii="Times New Roman" w:eastAsia="Times New Roman"/>
          <w:color w:val="auto"/>
          <w:sz w:val="21"/>
        </w:rPr>
        <w:t xml:space="preserve">6.2 </w:t>
      </w:r>
      <w:r>
        <w:rPr>
          <w:color w:val="auto"/>
          <w:spacing w:val="-3"/>
          <w:sz w:val="21"/>
        </w:rPr>
        <w:t>款迟延提供材料、工程设备或变更交货地点的；</w:t>
      </w:r>
    </w:p>
    <w:p>
      <w:pPr>
        <w:pStyle w:val="8"/>
        <w:spacing w:before="7"/>
        <w:rPr>
          <w:color w:val="auto"/>
          <w:sz w:val="15"/>
        </w:rPr>
      </w:pPr>
    </w:p>
    <w:p>
      <w:pPr>
        <w:pStyle w:val="44"/>
        <w:numPr>
          <w:ilvl w:val="0"/>
          <w:numId w:val="33"/>
        </w:numPr>
        <w:tabs>
          <w:tab w:val="left" w:pos="1163"/>
        </w:tabs>
        <w:ind w:hanging="530"/>
        <w:rPr>
          <w:color w:val="auto"/>
          <w:sz w:val="21"/>
        </w:rPr>
      </w:pPr>
      <w:r>
        <w:rPr>
          <w:color w:val="auto"/>
          <w:spacing w:val="-3"/>
          <w:sz w:val="21"/>
        </w:rPr>
        <w:t>发包人未及时按照“发包人要求”履行相关义务；</w:t>
      </w:r>
    </w:p>
    <w:p>
      <w:pPr>
        <w:pStyle w:val="8"/>
        <w:spacing w:before="7"/>
        <w:rPr>
          <w:color w:val="auto"/>
          <w:sz w:val="15"/>
        </w:rPr>
      </w:pPr>
    </w:p>
    <w:p>
      <w:pPr>
        <w:pStyle w:val="44"/>
        <w:numPr>
          <w:ilvl w:val="0"/>
          <w:numId w:val="33"/>
        </w:numPr>
        <w:tabs>
          <w:tab w:val="left" w:pos="1163"/>
        </w:tabs>
        <w:ind w:hanging="530"/>
        <w:rPr>
          <w:color w:val="auto"/>
          <w:sz w:val="21"/>
        </w:rPr>
      </w:pPr>
      <w:r>
        <w:rPr>
          <w:color w:val="auto"/>
          <w:spacing w:val="-3"/>
          <w:sz w:val="21"/>
        </w:rPr>
        <w:t>发包人造成工期延误的其他原因。</w:t>
      </w:r>
      <w:r>
        <w:rPr>
          <w:color w:val="auto"/>
          <w:sz w:val="21"/>
        </w:rPr>
        <w:t xml:space="preserve"> </w:t>
      </w:r>
    </w:p>
    <w:p>
      <w:pPr>
        <w:pStyle w:val="41"/>
        <w:numPr>
          <w:ilvl w:val="1"/>
          <w:numId w:val="22"/>
        </w:numPr>
        <w:tabs>
          <w:tab w:val="left" w:pos="754"/>
        </w:tabs>
        <w:spacing w:before="178"/>
        <w:ind w:hanging="542"/>
        <w:rPr>
          <w:rFonts w:ascii="Times New Roman" w:eastAsia="Times New Roman"/>
          <w:color w:val="auto"/>
        </w:rPr>
      </w:pPr>
      <w:bookmarkStart w:id="173" w:name="11.4_异常恶劣的气候条件"/>
      <w:bookmarkEnd w:id="173"/>
      <w:r>
        <w:rPr>
          <w:color w:val="auto"/>
        </w:rPr>
        <w:t>异常恶劣的气候条件</w:t>
      </w:r>
    </w:p>
    <w:p>
      <w:pPr>
        <w:pStyle w:val="8"/>
        <w:spacing w:before="182" w:line="417" w:lineRule="auto"/>
        <w:ind w:left="212" w:right="403" w:firstLine="420"/>
        <w:rPr>
          <w:color w:val="auto"/>
        </w:rPr>
      </w:pPr>
      <w:r>
        <w:rPr>
          <w:color w:val="auto"/>
        </w:rPr>
        <w:t xml:space="preserve">由于出现专用合同条款规定的异常恶劣气候的条件导致工期延误的，承包人有权要求发包人延长工期和（或）增加费用。 </w:t>
      </w:r>
    </w:p>
    <w:p>
      <w:pPr>
        <w:pStyle w:val="41"/>
        <w:numPr>
          <w:ilvl w:val="1"/>
          <w:numId w:val="22"/>
        </w:numPr>
        <w:tabs>
          <w:tab w:val="left" w:pos="754"/>
        </w:tabs>
        <w:spacing w:line="287" w:lineRule="exact"/>
        <w:ind w:hanging="542"/>
        <w:rPr>
          <w:rFonts w:ascii="Times New Roman" w:eastAsia="Times New Roman"/>
          <w:color w:val="auto"/>
        </w:rPr>
      </w:pPr>
      <w:bookmarkStart w:id="174" w:name="11.5_承包人引起的工期延误"/>
      <w:bookmarkEnd w:id="174"/>
      <w:r>
        <w:rPr>
          <w:color w:val="auto"/>
        </w:rPr>
        <w:t>承包人引起的工期延误</w:t>
      </w:r>
    </w:p>
    <w:p>
      <w:pPr>
        <w:pStyle w:val="8"/>
        <w:spacing w:before="181" w:line="417" w:lineRule="auto"/>
        <w:ind w:left="212" w:right="426" w:firstLine="420"/>
        <w:jc w:val="both"/>
        <w:rPr>
          <w:color w:val="auto"/>
        </w:rPr>
      </w:pPr>
      <w:r>
        <w:rPr>
          <w:color w:val="auto"/>
          <w:spacing w:val="-6"/>
        </w:rPr>
        <w:t>由于承包人原因，未能按合同进度计划完成工作，或监理人认为承包人工作进度不能满足合同工期要</w:t>
      </w:r>
      <w:r>
        <w:rPr>
          <w:color w:val="auto"/>
          <w:spacing w:val="-7"/>
        </w:rPr>
        <w:t>求的，承包人应采取措施加快进度，并承担加快进度所增加的费用。由于承包人原因造成工期延误，承包人应支付逾期竣工违约金。逾期竣工违约金的计算方法和最高限额在专用合同条款中约定。承包人支付逾</w:t>
      </w:r>
      <w:r>
        <w:rPr>
          <w:color w:val="auto"/>
          <w:spacing w:val="-5"/>
        </w:rPr>
        <w:t xml:space="preserve">期竣工违约金，不免除承包人完成工作及修补缺陷的义务。 </w:t>
      </w:r>
    </w:p>
    <w:p>
      <w:pPr>
        <w:pStyle w:val="41"/>
        <w:numPr>
          <w:ilvl w:val="1"/>
          <w:numId w:val="22"/>
        </w:numPr>
        <w:tabs>
          <w:tab w:val="left" w:pos="754"/>
        </w:tabs>
        <w:spacing w:line="286" w:lineRule="exact"/>
        <w:ind w:hanging="542"/>
        <w:rPr>
          <w:rFonts w:ascii="Times New Roman" w:eastAsia="Times New Roman"/>
          <w:color w:val="auto"/>
        </w:rPr>
      </w:pPr>
      <w:bookmarkStart w:id="175" w:name="11.6_工期提前"/>
      <w:bookmarkEnd w:id="175"/>
      <w:r>
        <w:rPr>
          <w:color w:val="auto"/>
        </w:rPr>
        <w:t>工期提前</w:t>
      </w:r>
    </w:p>
    <w:p>
      <w:pPr>
        <w:pStyle w:val="8"/>
        <w:spacing w:before="181" w:line="417" w:lineRule="auto"/>
        <w:ind w:left="212" w:right="426" w:firstLine="420"/>
        <w:jc w:val="both"/>
        <w:rPr>
          <w:color w:val="auto"/>
        </w:rPr>
      </w:pPr>
      <w:r>
        <w:rPr>
          <w:color w:val="auto"/>
          <w:spacing w:val="-5"/>
        </w:rPr>
        <w:t>发包人要求承包人提前竣工，或承包人提出提前竣工的建议能够给发包人带来效益的，应由监理人与</w:t>
      </w:r>
      <w:r>
        <w:rPr>
          <w:color w:val="auto"/>
          <w:spacing w:val="-6"/>
        </w:rPr>
        <w:t>承包人共同协商采取加快工程进度的措施和修订合同进度计划。发包人应承担承包人由此增加的费用，并</w:t>
      </w:r>
      <w:r>
        <w:rPr>
          <w:color w:val="auto"/>
          <w:spacing w:val="-4"/>
        </w:rPr>
        <w:t>向承包人支付专用合同条款约定的相应奖金。</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76" w:name="11.7_行政审批迟延"/>
      <w:bookmarkEnd w:id="176"/>
      <w:r>
        <w:rPr>
          <w:color w:val="auto"/>
        </w:rPr>
        <w:t>行政审批迟延</w:t>
      </w:r>
    </w:p>
    <w:p>
      <w:pPr>
        <w:pStyle w:val="8"/>
        <w:spacing w:before="181" w:line="417" w:lineRule="auto"/>
        <w:ind w:left="212" w:right="407" w:firstLine="420"/>
        <w:rPr>
          <w:color w:val="auto"/>
        </w:rPr>
      </w:pPr>
      <w:r>
        <w:rPr>
          <w:color w:val="auto"/>
        </w:rPr>
        <w:t xml:space="preserve">合同约定范围内的工作需国家有关部门审批的，发包人和（或）承包人应按照合同约定的职责分工完成行政审批报送。因国家有关部门审批迟延造成费用增加和（或）工期延误的，由发包人承担。 </w:t>
      </w:r>
    </w:p>
    <w:p>
      <w:pPr>
        <w:pStyle w:val="8"/>
        <w:spacing w:before="11"/>
        <w:rPr>
          <w:color w:val="auto"/>
          <w:sz w:val="20"/>
        </w:rPr>
      </w:pPr>
    </w:p>
    <w:p>
      <w:pPr>
        <w:pStyle w:val="37"/>
        <w:numPr>
          <w:ilvl w:val="0"/>
          <w:numId w:val="22"/>
        </w:numPr>
        <w:tabs>
          <w:tab w:val="left" w:pos="828"/>
        </w:tabs>
        <w:ind w:left="827" w:hanging="616"/>
        <w:rPr>
          <w:rFonts w:ascii="Cambria" w:eastAsia="Cambria"/>
          <w:color w:val="auto"/>
        </w:rPr>
      </w:pPr>
      <w:bookmarkStart w:id="177" w:name="12._暂停工作"/>
      <w:bookmarkEnd w:id="177"/>
      <w:r>
        <w:rPr>
          <w:color w:val="auto"/>
        </w:rPr>
        <w:t>暂停工作</w:t>
      </w:r>
    </w:p>
    <w:p>
      <w:pPr>
        <w:pStyle w:val="8"/>
        <w:spacing w:before="9"/>
        <w:rPr>
          <w:b/>
          <w:color w:val="auto"/>
          <w:sz w:val="34"/>
        </w:rPr>
      </w:pPr>
    </w:p>
    <w:p>
      <w:pPr>
        <w:pStyle w:val="41"/>
        <w:numPr>
          <w:ilvl w:val="1"/>
          <w:numId w:val="22"/>
        </w:numPr>
        <w:tabs>
          <w:tab w:val="left" w:pos="754"/>
        </w:tabs>
        <w:ind w:hanging="542"/>
        <w:rPr>
          <w:rFonts w:ascii="Times New Roman" w:eastAsia="Times New Roman"/>
          <w:color w:val="auto"/>
        </w:rPr>
      </w:pPr>
      <w:bookmarkStart w:id="178" w:name="12.1_由发包人暂停工作"/>
      <w:bookmarkEnd w:id="178"/>
      <w:r>
        <w:rPr>
          <w:color w:val="auto"/>
        </w:rPr>
        <w:t>由发包人暂停工作</w:t>
      </w:r>
    </w:p>
    <w:p>
      <w:pPr>
        <w:pStyle w:val="44"/>
        <w:numPr>
          <w:ilvl w:val="2"/>
          <w:numId w:val="22"/>
        </w:numPr>
        <w:tabs>
          <w:tab w:val="left" w:pos="1265"/>
        </w:tabs>
        <w:spacing w:before="181" w:line="417" w:lineRule="auto"/>
        <w:ind w:left="212" w:right="426" w:firstLine="420"/>
        <w:jc w:val="both"/>
        <w:rPr>
          <w:color w:val="auto"/>
          <w:sz w:val="21"/>
        </w:rPr>
      </w:pPr>
      <w:r>
        <w:rPr>
          <w:color w:val="auto"/>
          <w:spacing w:val="-6"/>
          <w:sz w:val="21"/>
        </w:rPr>
        <w:t>发包人认为必要时，可通过监理人向承包人发出暂停工作的指示，承包人应按监理人指示暂停工作。由于发包人原因引起的暂停工作造成工期延误的，承包人有权要求发包人延长工期和</w:t>
      </w:r>
      <w:r>
        <w:rPr>
          <w:color w:val="auto"/>
          <w:spacing w:val="-3"/>
          <w:sz w:val="21"/>
        </w:rPr>
        <w:t>（或</w:t>
      </w:r>
      <w:r>
        <w:rPr>
          <w:color w:val="auto"/>
          <w:spacing w:val="-5"/>
          <w:sz w:val="21"/>
        </w:rPr>
        <w:t>）</w:t>
      </w:r>
      <w:r>
        <w:rPr>
          <w:color w:val="auto"/>
          <w:spacing w:val="-2"/>
          <w:sz w:val="21"/>
        </w:rPr>
        <w:t>增加费</w:t>
      </w:r>
      <w:r>
        <w:rPr>
          <w:color w:val="auto"/>
          <w:spacing w:val="-3"/>
          <w:sz w:val="21"/>
        </w:rPr>
        <w:t>用，并支付合理利润。</w:t>
      </w:r>
      <w:r>
        <w:rPr>
          <w:color w:val="auto"/>
          <w:sz w:val="21"/>
        </w:rPr>
        <w:t xml:space="preserve"> </w:t>
      </w:r>
    </w:p>
    <w:p>
      <w:pPr>
        <w:pStyle w:val="44"/>
        <w:numPr>
          <w:ilvl w:val="2"/>
          <w:numId w:val="22"/>
        </w:numPr>
        <w:tabs>
          <w:tab w:val="left" w:pos="1265"/>
        </w:tabs>
        <w:spacing w:line="268" w:lineRule="exact"/>
        <w:ind w:left="1264" w:hanging="632"/>
        <w:jc w:val="both"/>
        <w:rPr>
          <w:color w:val="auto"/>
          <w:sz w:val="21"/>
        </w:rPr>
      </w:pPr>
      <w:r>
        <w:rPr>
          <w:color w:val="auto"/>
          <w:spacing w:val="-5"/>
          <w:sz w:val="21"/>
        </w:rPr>
        <w:t>由于承包人下列原因造成发包人暂停工作的，由此造成费用的增加和</w:t>
      </w:r>
      <w:r>
        <w:rPr>
          <w:color w:val="auto"/>
          <w:sz w:val="21"/>
        </w:rPr>
        <w:t>（</w:t>
      </w:r>
      <w:r>
        <w:rPr>
          <w:color w:val="auto"/>
          <w:spacing w:val="-3"/>
          <w:sz w:val="21"/>
        </w:rPr>
        <w:t>或</w:t>
      </w:r>
      <w:r>
        <w:rPr>
          <w:color w:val="auto"/>
          <w:spacing w:val="-8"/>
          <w:sz w:val="21"/>
        </w:rPr>
        <w:t>）</w:t>
      </w:r>
      <w:r>
        <w:rPr>
          <w:color w:val="auto"/>
          <w:spacing w:val="-3"/>
          <w:sz w:val="21"/>
        </w:rPr>
        <w:t>工期延误由承包人</w:t>
      </w:r>
    </w:p>
    <w:p>
      <w:pPr>
        <w:spacing w:line="268" w:lineRule="exact"/>
        <w:jc w:val="both"/>
        <w:rPr>
          <w:color w:val="auto"/>
          <w:sz w:val="21"/>
        </w:rPr>
        <w:sectPr>
          <w:pgSz w:w="11910" w:h="16840"/>
          <w:pgMar w:top="1540" w:right="700" w:bottom="1180" w:left="920" w:header="0" w:footer="995" w:gutter="0"/>
          <w:cols w:space="720" w:num="1"/>
        </w:sectPr>
      </w:pPr>
    </w:p>
    <w:p>
      <w:pPr>
        <w:pStyle w:val="8"/>
        <w:spacing w:before="45"/>
        <w:ind w:left="212"/>
        <w:rPr>
          <w:color w:val="auto"/>
        </w:rPr>
      </w:pPr>
      <w:r>
        <w:rPr>
          <w:color w:val="auto"/>
        </w:rPr>
        <w:t xml:space="preserve">承担： </w:t>
      </w:r>
    </w:p>
    <w:p>
      <w:pPr>
        <w:pStyle w:val="8"/>
        <w:spacing w:before="7"/>
        <w:rPr>
          <w:color w:val="auto"/>
          <w:sz w:val="15"/>
        </w:rPr>
      </w:pPr>
    </w:p>
    <w:p>
      <w:pPr>
        <w:pStyle w:val="44"/>
        <w:numPr>
          <w:ilvl w:val="0"/>
          <w:numId w:val="34"/>
        </w:numPr>
        <w:tabs>
          <w:tab w:val="left" w:pos="1163"/>
        </w:tabs>
        <w:ind w:hanging="530"/>
        <w:rPr>
          <w:color w:val="auto"/>
          <w:sz w:val="21"/>
        </w:rPr>
      </w:pPr>
      <w:r>
        <w:rPr>
          <w:color w:val="auto"/>
          <w:spacing w:val="-3"/>
          <w:sz w:val="21"/>
        </w:rPr>
        <w:t>承包人违约；</w:t>
      </w:r>
    </w:p>
    <w:p>
      <w:pPr>
        <w:pStyle w:val="8"/>
        <w:spacing w:before="7"/>
        <w:rPr>
          <w:color w:val="auto"/>
          <w:sz w:val="15"/>
        </w:rPr>
      </w:pPr>
    </w:p>
    <w:p>
      <w:pPr>
        <w:pStyle w:val="44"/>
        <w:numPr>
          <w:ilvl w:val="0"/>
          <w:numId w:val="34"/>
        </w:numPr>
        <w:tabs>
          <w:tab w:val="left" w:pos="1163"/>
        </w:tabs>
        <w:ind w:hanging="530"/>
        <w:rPr>
          <w:color w:val="auto"/>
          <w:sz w:val="21"/>
        </w:rPr>
      </w:pPr>
      <w:r>
        <w:rPr>
          <w:color w:val="auto"/>
          <w:spacing w:val="-3"/>
          <w:sz w:val="21"/>
        </w:rPr>
        <w:t>承包人擅自暂停工作；</w:t>
      </w:r>
    </w:p>
    <w:p>
      <w:pPr>
        <w:pStyle w:val="8"/>
        <w:spacing w:before="6"/>
        <w:rPr>
          <w:color w:val="auto"/>
          <w:sz w:val="15"/>
        </w:rPr>
      </w:pPr>
    </w:p>
    <w:p>
      <w:pPr>
        <w:pStyle w:val="44"/>
        <w:numPr>
          <w:ilvl w:val="0"/>
          <w:numId w:val="34"/>
        </w:numPr>
        <w:tabs>
          <w:tab w:val="left" w:pos="1163"/>
        </w:tabs>
        <w:spacing w:before="1"/>
        <w:ind w:hanging="530"/>
        <w:rPr>
          <w:color w:val="auto"/>
          <w:sz w:val="21"/>
        </w:rPr>
      </w:pPr>
      <w:r>
        <w:rPr>
          <w:color w:val="auto"/>
          <w:spacing w:val="-3"/>
          <w:sz w:val="21"/>
        </w:rPr>
        <w:t>合同约定由承包人承担责任的其他暂停工作。</w:t>
      </w:r>
    </w:p>
    <w:p>
      <w:pPr>
        <w:pStyle w:val="41"/>
        <w:numPr>
          <w:ilvl w:val="1"/>
          <w:numId w:val="22"/>
        </w:numPr>
        <w:tabs>
          <w:tab w:val="left" w:pos="754"/>
        </w:tabs>
        <w:spacing w:before="178"/>
        <w:ind w:hanging="542"/>
        <w:jc w:val="both"/>
        <w:rPr>
          <w:rFonts w:ascii="Times New Roman" w:eastAsia="Times New Roman"/>
          <w:color w:val="auto"/>
        </w:rPr>
      </w:pPr>
      <w:bookmarkStart w:id="179" w:name="12.2_由承包人暂停工作"/>
      <w:bookmarkEnd w:id="179"/>
      <w:r>
        <w:rPr>
          <w:color w:val="auto"/>
        </w:rPr>
        <w:t>由承包人暂停工作</w:t>
      </w:r>
    </w:p>
    <w:p>
      <w:pPr>
        <w:pStyle w:val="44"/>
        <w:numPr>
          <w:ilvl w:val="2"/>
          <w:numId w:val="22"/>
        </w:numPr>
        <w:tabs>
          <w:tab w:val="left" w:pos="1265"/>
        </w:tabs>
        <w:spacing w:before="181" w:line="417" w:lineRule="auto"/>
        <w:ind w:left="212" w:right="320" w:firstLine="420"/>
        <w:rPr>
          <w:color w:val="auto"/>
          <w:sz w:val="21"/>
        </w:rPr>
      </w:pPr>
      <w:r>
        <w:rPr>
          <w:color w:val="auto"/>
          <w:spacing w:val="-5"/>
          <w:sz w:val="21"/>
        </w:rPr>
        <w:t>合同履行过程中发生下列情形之一的，承包人可向发包人发出通知，要求发包人采取有效措施</w:t>
      </w:r>
      <w:r>
        <w:rPr>
          <w:color w:val="auto"/>
          <w:spacing w:val="-8"/>
          <w:sz w:val="21"/>
        </w:rPr>
        <w:t xml:space="preserve">予以纠正。发包人收到承包人通知后的 </w:t>
      </w:r>
      <w:r>
        <w:rPr>
          <w:color w:val="auto"/>
          <w:sz w:val="21"/>
        </w:rPr>
        <w:t>28</w:t>
      </w:r>
      <w:r>
        <w:rPr>
          <w:color w:val="auto"/>
          <w:spacing w:val="-9"/>
          <w:sz w:val="21"/>
        </w:rPr>
        <w:t xml:space="preserve"> 天内仍不履行合同义务，承包人有权暂停施工，并通知监理人， </w:t>
      </w:r>
      <w:r>
        <w:rPr>
          <w:color w:val="auto"/>
          <w:spacing w:val="-5"/>
          <w:sz w:val="21"/>
        </w:rPr>
        <w:t>发包人应承担由此增加的费用和</w:t>
      </w:r>
      <w:r>
        <w:rPr>
          <w:color w:val="auto"/>
          <w:sz w:val="21"/>
        </w:rPr>
        <w:t>（</w:t>
      </w:r>
      <w:r>
        <w:rPr>
          <w:color w:val="auto"/>
          <w:spacing w:val="-3"/>
          <w:sz w:val="21"/>
        </w:rPr>
        <w:t>或</w:t>
      </w:r>
      <w:r>
        <w:rPr>
          <w:color w:val="auto"/>
          <w:sz w:val="21"/>
        </w:rPr>
        <w:t>）</w:t>
      </w:r>
      <w:r>
        <w:rPr>
          <w:color w:val="auto"/>
          <w:spacing w:val="-3"/>
          <w:sz w:val="21"/>
        </w:rPr>
        <w:t>工期延误责任，并支付承包人合理利润。</w:t>
      </w:r>
      <w:r>
        <w:rPr>
          <w:color w:val="auto"/>
          <w:sz w:val="21"/>
        </w:rPr>
        <w:t xml:space="preserve"> </w:t>
      </w:r>
    </w:p>
    <w:p>
      <w:pPr>
        <w:pStyle w:val="44"/>
        <w:numPr>
          <w:ilvl w:val="0"/>
          <w:numId w:val="35"/>
        </w:numPr>
        <w:tabs>
          <w:tab w:val="left" w:pos="1163"/>
        </w:tabs>
        <w:ind w:hanging="530"/>
        <w:rPr>
          <w:color w:val="auto"/>
          <w:sz w:val="21"/>
        </w:rPr>
      </w:pPr>
      <w:r>
        <w:rPr>
          <w:color w:val="auto"/>
          <w:spacing w:val="-3"/>
          <w:sz w:val="21"/>
        </w:rPr>
        <w:t>发包人未能按合同约定支付价款，或拖延、拒绝批准付款申请和支付证书，导致付款延误的；</w:t>
      </w:r>
    </w:p>
    <w:p>
      <w:pPr>
        <w:pStyle w:val="8"/>
        <w:spacing w:before="7"/>
        <w:rPr>
          <w:color w:val="auto"/>
          <w:sz w:val="15"/>
        </w:rPr>
      </w:pPr>
    </w:p>
    <w:p>
      <w:pPr>
        <w:pStyle w:val="44"/>
        <w:numPr>
          <w:ilvl w:val="0"/>
          <w:numId w:val="35"/>
        </w:numPr>
        <w:tabs>
          <w:tab w:val="left" w:pos="1163"/>
        </w:tabs>
        <w:ind w:hanging="530"/>
        <w:rPr>
          <w:color w:val="auto"/>
          <w:sz w:val="21"/>
        </w:rPr>
      </w:pPr>
      <w:r>
        <w:rPr>
          <w:color w:val="auto"/>
          <w:spacing w:val="-3"/>
          <w:sz w:val="21"/>
        </w:rPr>
        <w:t>监理人无正当理由没有在约定期限内发出复工指示，导致承包人无法复工的；</w:t>
      </w:r>
    </w:p>
    <w:p>
      <w:pPr>
        <w:pStyle w:val="8"/>
        <w:spacing w:before="6"/>
        <w:rPr>
          <w:color w:val="auto"/>
          <w:sz w:val="15"/>
        </w:rPr>
      </w:pPr>
    </w:p>
    <w:p>
      <w:pPr>
        <w:pStyle w:val="44"/>
        <w:numPr>
          <w:ilvl w:val="0"/>
          <w:numId w:val="35"/>
        </w:numPr>
        <w:tabs>
          <w:tab w:val="left" w:pos="1163"/>
        </w:tabs>
        <w:spacing w:before="1"/>
        <w:ind w:hanging="530"/>
        <w:rPr>
          <w:color w:val="auto"/>
          <w:sz w:val="21"/>
        </w:rPr>
      </w:pPr>
      <w:r>
        <w:rPr>
          <w:color w:val="auto"/>
          <w:spacing w:val="-3"/>
          <w:sz w:val="21"/>
        </w:rPr>
        <w:t>发包人无法继续履行或明确表示不履行或实质上已停止履行合同的；</w:t>
      </w:r>
    </w:p>
    <w:p>
      <w:pPr>
        <w:pStyle w:val="8"/>
        <w:spacing w:before="6"/>
        <w:rPr>
          <w:color w:val="auto"/>
          <w:sz w:val="15"/>
        </w:rPr>
      </w:pPr>
    </w:p>
    <w:p>
      <w:pPr>
        <w:pStyle w:val="44"/>
        <w:numPr>
          <w:ilvl w:val="0"/>
          <w:numId w:val="35"/>
        </w:numPr>
        <w:tabs>
          <w:tab w:val="left" w:pos="1163"/>
        </w:tabs>
        <w:ind w:hanging="530"/>
        <w:rPr>
          <w:color w:val="auto"/>
          <w:sz w:val="21"/>
        </w:rPr>
      </w:pPr>
      <w:r>
        <w:rPr>
          <w:color w:val="auto"/>
          <w:spacing w:val="-3"/>
          <w:sz w:val="21"/>
        </w:rPr>
        <w:t>发包人不履行合同约定其他义务的。</w:t>
      </w:r>
      <w:r>
        <w:rPr>
          <w:color w:val="auto"/>
          <w:sz w:val="21"/>
        </w:rPr>
        <w:t xml:space="preserve"> </w:t>
      </w:r>
    </w:p>
    <w:p>
      <w:pPr>
        <w:pStyle w:val="8"/>
        <w:spacing w:before="7"/>
        <w:rPr>
          <w:color w:val="auto"/>
          <w:sz w:val="15"/>
        </w:rPr>
      </w:pPr>
    </w:p>
    <w:p>
      <w:pPr>
        <w:pStyle w:val="44"/>
        <w:numPr>
          <w:ilvl w:val="2"/>
          <w:numId w:val="22"/>
        </w:numPr>
        <w:tabs>
          <w:tab w:val="left" w:pos="1265"/>
        </w:tabs>
        <w:spacing w:line="417" w:lineRule="auto"/>
        <w:ind w:left="212" w:right="426" w:firstLine="420"/>
        <w:jc w:val="both"/>
        <w:rPr>
          <w:color w:val="auto"/>
          <w:sz w:val="21"/>
        </w:rPr>
      </w:pPr>
      <w:r>
        <w:rPr>
          <w:color w:val="auto"/>
          <w:spacing w:val="-5"/>
          <w:sz w:val="21"/>
        </w:rPr>
        <w:t>由于发包人的原因发生暂停施工的紧急情况，且监理人未及时下达暂停工作指示的，承包人可</w:t>
      </w:r>
      <w:r>
        <w:rPr>
          <w:color w:val="auto"/>
          <w:spacing w:val="-4"/>
          <w:sz w:val="21"/>
        </w:rPr>
        <w:t xml:space="preserve">先暂停施工，并及时向监理人提出暂停工作的书面请求。监理人应在收到书面请求后的 </w:t>
      </w:r>
      <w:r>
        <w:rPr>
          <w:color w:val="auto"/>
          <w:sz w:val="21"/>
        </w:rPr>
        <w:t>24 小时内予以答</w:t>
      </w:r>
      <w:r>
        <w:rPr>
          <w:color w:val="auto"/>
          <w:spacing w:val="-3"/>
          <w:sz w:val="21"/>
        </w:rPr>
        <w:t>复，逾期未答复的，视为同意承包人的暂停工作请求。</w:t>
      </w:r>
      <w:r>
        <w:rPr>
          <w:color w:val="auto"/>
          <w:sz w:val="21"/>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180" w:name="12.3_暂停工作后的照管"/>
      <w:bookmarkEnd w:id="180"/>
      <w:r>
        <w:rPr>
          <w:color w:val="auto"/>
        </w:rPr>
        <w:t>暂停工作后的照管</w:t>
      </w:r>
    </w:p>
    <w:p>
      <w:pPr>
        <w:pStyle w:val="8"/>
        <w:spacing w:before="181" w:line="417" w:lineRule="auto"/>
        <w:ind w:left="212" w:right="426" w:firstLine="420"/>
        <w:rPr>
          <w:color w:val="auto"/>
        </w:rPr>
      </w:pPr>
      <w:r>
        <w:rPr>
          <w:color w:val="auto"/>
          <w:spacing w:val="-6"/>
        </w:rPr>
        <w:t>不论由于何种原因引起暂停工作的，暂停工作期间，承包人应负责妥善保护工程并提供安全保障，由</w:t>
      </w:r>
      <w:r>
        <w:rPr>
          <w:color w:val="auto"/>
          <w:spacing w:val="-4"/>
        </w:rPr>
        <w:t xml:space="preserve">此增加的费用由责任方承担。 </w:t>
      </w:r>
    </w:p>
    <w:p>
      <w:pPr>
        <w:pStyle w:val="41"/>
        <w:numPr>
          <w:ilvl w:val="1"/>
          <w:numId w:val="22"/>
        </w:numPr>
        <w:tabs>
          <w:tab w:val="left" w:pos="754"/>
        </w:tabs>
        <w:spacing w:line="287" w:lineRule="exact"/>
        <w:ind w:hanging="542"/>
        <w:jc w:val="both"/>
        <w:rPr>
          <w:rFonts w:ascii="Times New Roman" w:eastAsia="Times New Roman"/>
          <w:color w:val="auto"/>
        </w:rPr>
      </w:pPr>
      <w:bookmarkStart w:id="181" w:name="12.4_暂停工作后的复工"/>
      <w:bookmarkEnd w:id="181"/>
      <w:r>
        <w:rPr>
          <w:color w:val="auto"/>
        </w:rPr>
        <w:t>暂停工作后的复工</w:t>
      </w:r>
    </w:p>
    <w:p>
      <w:pPr>
        <w:pStyle w:val="44"/>
        <w:numPr>
          <w:ilvl w:val="2"/>
          <w:numId w:val="22"/>
        </w:numPr>
        <w:tabs>
          <w:tab w:val="left" w:pos="1243"/>
        </w:tabs>
        <w:spacing w:before="181" w:line="417" w:lineRule="auto"/>
        <w:ind w:left="212" w:right="426" w:firstLine="420"/>
        <w:jc w:val="both"/>
        <w:rPr>
          <w:color w:val="auto"/>
          <w:sz w:val="21"/>
        </w:rPr>
      </w:pPr>
      <w:r>
        <w:rPr>
          <w:color w:val="auto"/>
          <w:spacing w:val="-3"/>
          <w:sz w:val="21"/>
        </w:rPr>
        <w:t>暂停工作后，监理人应与发包人和承包人协商，采取有效措施积极消除暂停工作的影响。当工</w:t>
      </w:r>
      <w:r>
        <w:rPr>
          <w:color w:val="auto"/>
          <w:spacing w:val="-6"/>
          <w:sz w:val="21"/>
        </w:rPr>
        <w:t>程具备复工条件时，监理人应立即向承包人发出复工通知。承包人收到复工通知后，应在监理人指定的期</w:t>
      </w:r>
      <w:r>
        <w:rPr>
          <w:color w:val="auto"/>
          <w:spacing w:val="-4"/>
          <w:sz w:val="21"/>
        </w:rPr>
        <w:t>限内复工。</w:t>
      </w:r>
      <w:r>
        <w:rPr>
          <w:color w:val="auto"/>
          <w:sz w:val="21"/>
        </w:rPr>
        <w:t xml:space="preserve"> </w:t>
      </w:r>
    </w:p>
    <w:p>
      <w:pPr>
        <w:pStyle w:val="44"/>
        <w:numPr>
          <w:ilvl w:val="2"/>
          <w:numId w:val="22"/>
        </w:numPr>
        <w:tabs>
          <w:tab w:val="left" w:pos="1243"/>
        </w:tabs>
        <w:spacing w:line="417" w:lineRule="auto"/>
        <w:ind w:left="212" w:right="426" w:firstLine="420"/>
        <w:jc w:val="both"/>
        <w:rPr>
          <w:color w:val="auto"/>
          <w:sz w:val="21"/>
        </w:rPr>
      </w:pPr>
      <w:r>
        <w:rPr>
          <w:color w:val="auto"/>
          <w:spacing w:val="-3"/>
          <w:sz w:val="21"/>
        </w:rPr>
        <w:t>承包人无故拖延和拒绝复工的，由此增加的费用和工期延误由承包人承担；因发包人原因无法按时复工的，承包人有权要求发包人延长工期和（</w:t>
      </w:r>
      <w:r>
        <w:rPr>
          <w:color w:val="auto"/>
          <w:sz w:val="21"/>
        </w:rPr>
        <w:t>或）</w:t>
      </w:r>
      <w:r>
        <w:rPr>
          <w:color w:val="auto"/>
          <w:spacing w:val="-3"/>
          <w:sz w:val="21"/>
        </w:rPr>
        <w:t>增加费用，并支付合理利润。</w:t>
      </w:r>
      <w:r>
        <w:rPr>
          <w:color w:val="auto"/>
          <w:sz w:val="21"/>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182" w:name="12.5_暂停工作56天以上"/>
      <w:bookmarkEnd w:id="182"/>
      <w:r>
        <w:rPr>
          <w:color w:val="auto"/>
          <w:spacing w:val="-12"/>
        </w:rPr>
        <w:t xml:space="preserve">暂停工作 </w:t>
      </w:r>
      <w:r>
        <w:rPr>
          <w:rFonts w:ascii="Times New Roman" w:eastAsia="Times New Roman"/>
          <w:color w:val="auto"/>
        </w:rPr>
        <w:t>56</w:t>
      </w:r>
      <w:r>
        <w:rPr>
          <w:rFonts w:ascii="Times New Roman" w:eastAsia="Times New Roman"/>
          <w:color w:val="auto"/>
          <w:spacing w:val="-3"/>
        </w:rPr>
        <w:t xml:space="preserve"> </w:t>
      </w:r>
      <w:r>
        <w:rPr>
          <w:color w:val="auto"/>
        </w:rPr>
        <w:t>天以上</w:t>
      </w:r>
    </w:p>
    <w:p>
      <w:pPr>
        <w:pStyle w:val="44"/>
        <w:numPr>
          <w:ilvl w:val="2"/>
          <w:numId w:val="22"/>
        </w:numPr>
        <w:tabs>
          <w:tab w:val="left" w:pos="1253"/>
        </w:tabs>
        <w:spacing w:before="181" w:line="417" w:lineRule="auto"/>
        <w:ind w:left="212" w:right="426" w:firstLine="420"/>
        <w:jc w:val="both"/>
        <w:rPr>
          <w:color w:val="auto"/>
          <w:sz w:val="21"/>
        </w:rPr>
      </w:pPr>
      <w:r>
        <w:rPr>
          <w:color w:val="auto"/>
          <w:spacing w:val="-3"/>
          <w:sz w:val="21"/>
        </w:rPr>
        <w:t xml:space="preserve">监理人发出暂停工作指示后 </w:t>
      </w:r>
      <w:r>
        <w:rPr>
          <w:color w:val="auto"/>
          <w:sz w:val="21"/>
        </w:rPr>
        <w:t>56</w:t>
      </w:r>
      <w:r>
        <w:rPr>
          <w:color w:val="auto"/>
          <w:spacing w:val="-3"/>
          <w:sz w:val="21"/>
        </w:rPr>
        <w:t xml:space="preserve"> 天内未向承包人发出复工通知的，除该项暂停由于承包人违约造成之外，承包人可向监理人提交书面通知，要求监理人在收到书面通知后 </w:t>
      </w:r>
      <w:r>
        <w:rPr>
          <w:color w:val="auto"/>
          <w:sz w:val="21"/>
        </w:rPr>
        <w:t>28</w:t>
      </w:r>
      <w:r>
        <w:rPr>
          <w:color w:val="auto"/>
          <w:spacing w:val="-3"/>
          <w:sz w:val="21"/>
        </w:rPr>
        <w:t xml:space="preserve"> 天内准许已暂停工作的全部或部分继续工作。如监理人逾期不予批准，则承包人可以通知监理人，将工程受影响的部分按第 </w:t>
      </w:r>
      <w:r>
        <w:rPr>
          <w:color w:val="auto"/>
          <w:sz w:val="21"/>
        </w:rPr>
        <w:t>15</w:t>
      </w:r>
      <w:r>
        <w:rPr>
          <w:color w:val="auto"/>
          <w:spacing w:val="5"/>
          <w:sz w:val="21"/>
        </w:rPr>
        <w:t xml:space="preserve"> 条</w:t>
      </w:r>
      <w:r>
        <w:rPr>
          <w:color w:val="auto"/>
          <w:spacing w:val="-7"/>
          <w:sz w:val="21"/>
        </w:rPr>
        <w:t xml:space="preserve">的约定作为可取消工作的变更处理。暂停工作影响到整个工程的，视为发包人违约，应按第 </w:t>
      </w:r>
      <w:r>
        <w:rPr>
          <w:rFonts w:ascii="Times New Roman" w:eastAsia="Times New Roman"/>
          <w:color w:val="auto"/>
          <w:sz w:val="21"/>
        </w:rPr>
        <w:t>12.2.1</w:t>
      </w:r>
      <w:r>
        <w:rPr>
          <w:rFonts w:ascii="Times New Roman" w:eastAsia="Times New Roman"/>
          <w:color w:val="auto"/>
          <w:spacing w:val="21"/>
          <w:sz w:val="21"/>
        </w:rPr>
        <w:t xml:space="preserve"> </w:t>
      </w:r>
      <w:r>
        <w:rPr>
          <w:color w:val="auto"/>
          <w:spacing w:val="-3"/>
          <w:sz w:val="21"/>
        </w:rPr>
        <w:t>项的约</w:t>
      </w:r>
    </w:p>
    <w:p>
      <w:pPr>
        <w:spacing w:line="417" w:lineRule="auto"/>
        <w:jc w:val="both"/>
        <w:rPr>
          <w:color w:val="auto"/>
          <w:sz w:val="21"/>
        </w:rPr>
        <w:sectPr>
          <w:pgSz w:w="11910" w:h="16840"/>
          <w:pgMar w:top="1560" w:right="700" w:bottom="1180" w:left="920" w:header="0" w:footer="995" w:gutter="0"/>
          <w:cols w:space="720" w:num="1"/>
        </w:sectPr>
      </w:pPr>
    </w:p>
    <w:p>
      <w:pPr>
        <w:pStyle w:val="8"/>
        <w:spacing w:before="45"/>
        <w:ind w:left="212"/>
        <w:rPr>
          <w:color w:val="auto"/>
        </w:rPr>
      </w:pPr>
      <w:r>
        <w:rPr>
          <w:color w:val="auto"/>
        </w:rPr>
        <w:t xml:space="preserve">定执行，同时承包人有权解除合同。 </w:t>
      </w:r>
    </w:p>
    <w:p>
      <w:pPr>
        <w:pStyle w:val="8"/>
        <w:spacing w:before="7"/>
        <w:rPr>
          <w:color w:val="auto"/>
          <w:sz w:val="15"/>
        </w:rPr>
      </w:pPr>
    </w:p>
    <w:p>
      <w:pPr>
        <w:pStyle w:val="44"/>
        <w:numPr>
          <w:ilvl w:val="2"/>
          <w:numId w:val="22"/>
        </w:numPr>
        <w:tabs>
          <w:tab w:val="left" w:pos="1253"/>
        </w:tabs>
        <w:spacing w:line="417" w:lineRule="auto"/>
        <w:ind w:left="212" w:right="426" w:firstLine="420"/>
        <w:rPr>
          <w:color w:val="auto"/>
          <w:sz w:val="21"/>
        </w:rPr>
      </w:pPr>
      <w:r>
        <w:rPr>
          <w:color w:val="auto"/>
          <w:spacing w:val="-3"/>
          <w:sz w:val="21"/>
        </w:rPr>
        <w:t xml:space="preserve">由于承包人原因引起暂停工作的，如承包人在收到监理人暂停工作指示后 </w:t>
      </w:r>
      <w:r>
        <w:rPr>
          <w:color w:val="auto"/>
          <w:sz w:val="21"/>
        </w:rPr>
        <w:t>56 天内不采取有效</w:t>
      </w:r>
      <w:r>
        <w:rPr>
          <w:color w:val="auto"/>
          <w:spacing w:val="-5"/>
          <w:sz w:val="21"/>
        </w:rPr>
        <w:t xml:space="preserve">的复工措施，造成工期延误的，视为承包人违约，应按第 </w:t>
      </w:r>
      <w:r>
        <w:rPr>
          <w:rFonts w:ascii="Times New Roman" w:eastAsia="Times New Roman"/>
          <w:color w:val="auto"/>
          <w:sz w:val="21"/>
        </w:rPr>
        <w:t xml:space="preserve">12.1.2  </w:t>
      </w:r>
      <w:r>
        <w:rPr>
          <w:color w:val="auto"/>
          <w:spacing w:val="-3"/>
          <w:sz w:val="21"/>
        </w:rPr>
        <w:t>项的约定执行。</w:t>
      </w:r>
    </w:p>
    <w:p>
      <w:pPr>
        <w:pStyle w:val="8"/>
        <w:spacing w:before="10"/>
        <w:rPr>
          <w:color w:val="auto"/>
          <w:sz w:val="20"/>
        </w:rPr>
      </w:pPr>
    </w:p>
    <w:p>
      <w:pPr>
        <w:pStyle w:val="37"/>
        <w:numPr>
          <w:ilvl w:val="0"/>
          <w:numId w:val="22"/>
        </w:numPr>
        <w:tabs>
          <w:tab w:val="left" w:pos="828"/>
        </w:tabs>
        <w:ind w:left="827" w:hanging="616"/>
        <w:rPr>
          <w:rFonts w:ascii="Cambria" w:eastAsia="Cambria"/>
          <w:color w:val="auto"/>
        </w:rPr>
      </w:pPr>
      <w:bookmarkStart w:id="183" w:name="13._工程质量"/>
      <w:bookmarkEnd w:id="183"/>
      <w:r>
        <w:rPr>
          <w:color w:val="auto"/>
          <w:w w:val="95"/>
        </w:rPr>
        <w:t>工程质量</w:t>
      </w:r>
    </w:p>
    <w:p>
      <w:pPr>
        <w:pStyle w:val="8"/>
        <w:spacing w:before="12"/>
        <w:rPr>
          <w:b/>
          <w:color w:val="auto"/>
          <w:sz w:val="34"/>
        </w:rPr>
      </w:pPr>
    </w:p>
    <w:p>
      <w:pPr>
        <w:pStyle w:val="41"/>
        <w:numPr>
          <w:ilvl w:val="1"/>
          <w:numId w:val="22"/>
        </w:numPr>
        <w:tabs>
          <w:tab w:val="left" w:pos="754"/>
        </w:tabs>
        <w:ind w:hanging="542"/>
        <w:rPr>
          <w:rFonts w:ascii="Times New Roman" w:eastAsia="Times New Roman"/>
          <w:color w:val="auto"/>
        </w:rPr>
      </w:pPr>
      <w:bookmarkStart w:id="184" w:name="13.1_工程质量要求"/>
      <w:bookmarkEnd w:id="184"/>
      <w:r>
        <w:rPr>
          <w:color w:val="auto"/>
        </w:rPr>
        <w:t>工程质量要求</w:t>
      </w:r>
    </w:p>
    <w:p>
      <w:pPr>
        <w:pStyle w:val="44"/>
        <w:numPr>
          <w:ilvl w:val="2"/>
          <w:numId w:val="22"/>
        </w:numPr>
        <w:tabs>
          <w:tab w:val="left" w:pos="1265"/>
        </w:tabs>
        <w:spacing w:before="181"/>
        <w:ind w:left="1264" w:hanging="632"/>
        <w:rPr>
          <w:rFonts w:ascii="Times New Roman" w:eastAsia="Times New Roman"/>
          <w:color w:val="auto"/>
          <w:sz w:val="21"/>
        </w:rPr>
      </w:pPr>
      <w:r>
        <w:rPr>
          <w:color w:val="auto"/>
          <w:spacing w:val="-3"/>
          <w:sz w:val="21"/>
        </w:rPr>
        <w:t>工程质量验收按法律规定和合同约定的验收标准执行。</w:t>
      </w:r>
      <w:r>
        <w:rPr>
          <w:color w:val="auto"/>
          <w:sz w:val="21"/>
        </w:rPr>
        <w:t xml:space="preserve"> </w:t>
      </w:r>
    </w:p>
    <w:p>
      <w:pPr>
        <w:pStyle w:val="8"/>
        <w:spacing w:before="7"/>
        <w:rPr>
          <w:color w:val="auto"/>
          <w:sz w:val="15"/>
        </w:rPr>
      </w:pPr>
    </w:p>
    <w:p>
      <w:pPr>
        <w:pStyle w:val="44"/>
        <w:numPr>
          <w:ilvl w:val="2"/>
          <w:numId w:val="22"/>
        </w:numPr>
        <w:tabs>
          <w:tab w:val="left" w:pos="1265"/>
        </w:tabs>
        <w:spacing w:line="417" w:lineRule="auto"/>
        <w:ind w:left="212" w:right="426" w:firstLine="420"/>
        <w:rPr>
          <w:rFonts w:ascii="Times New Roman" w:eastAsia="Times New Roman"/>
          <w:color w:val="auto"/>
          <w:sz w:val="21"/>
        </w:rPr>
      </w:pPr>
      <w:r>
        <w:rPr>
          <w:color w:val="auto"/>
          <w:spacing w:val="-4"/>
          <w:sz w:val="21"/>
        </w:rPr>
        <w:t>因承包人原因造成工程质量不符合法律的规定和合同约定的，监理人有权要求承包人返工直至</w:t>
      </w:r>
      <w:r>
        <w:rPr>
          <w:color w:val="auto"/>
          <w:spacing w:val="-3"/>
          <w:sz w:val="21"/>
        </w:rPr>
        <w:t>符合合同要求为止，由此造成的费用增加和（</w:t>
      </w:r>
      <w:r>
        <w:rPr>
          <w:color w:val="auto"/>
          <w:sz w:val="21"/>
        </w:rPr>
        <w:t>或</w:t>
      </w:r>
      <w:r>
        <w:rPr>
          <w:color w:val="auto"/>
          <w:spacing w:val="-3"/>
          <w:sz w:val="21"/>
        </w:rPr>
        <w:t>）工期延误由承包人承担。</w:t>
      </w:r>
      <w:r>
        <w:rPr>
          <w:color w:val="auto"/>
          <w:sz w:val="21"/>
        </w:rPr>
        <w:t xml:space="preserve">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4"/>
          <w:sz w:val="21"/>
        </w:rPr>
        <w:t>因发包人原因造成工程质量达不到合同约定验收标准的，发包人应承担由于承包人返工造成的</w:t>
      </w:r>
      <w:r>
        <w:rPr>
          <w:color w:val="auto"/>
          <w:spacing w:val="-3"/>
          <w:sz w:val="21"/>
        </w:rPr>
        <w:t>费用增加和</w:t>
      </w:r>
      <w:r>
        <w:rPr>
          <w:color w:val="auto"/>
          <w:sz w:val="21"/>
        </w:rPr>
        <w:t>（</w:t>
      </w:r>
      <w:r>
        <w:rPr>
          <w:color w:val="auto"/>
          <w:spacing w:val="-3"/>
          <w:sz w:val="21"/>
        </w:rPr>
        <w:t>或</w:t>
      </w:r>
      <w:r>
        <w:rPr>
          <w:color w:val="auto"/>
          <w:sz w:val="21"/>
        </w:rPr>
        <w:t>）</w:t>
      </w:r>
      <w:r>
        <w:rPr>
          <w:color w:val="auto"/>
          <w:spacing w:val="-3"/>
          <w:sz w:val="21"/>
        </w:rPr>
        <w:t>工期延误，并支付承包人合理利润。</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85" w:name="13.2_承包人的质量检查"/>
      <w:bookmarkEnd w:id="185"/>
      <w:r>
        <w:rPr>
          <w:color w:val="auto"/>
        </w:rPr>
        <w:t>承包人的质量检查</w:t>
      </w:r>
    </w:p>
    <w:p>
      <w:pPr>
        <w:pStyle w:val="8"/>
        <w:spacing w:before="181" w:line="417" w:lineRule="auto"/>
        <w:ind w:left="212" w:right="426" w:firstLine="420"/>
        <w:rPr>
          <w:color w:val="auto"/>
        </w:rPr>
      </w:pPr>
      <w:r>
        <w:rPr>
          <w:color w:val="auto"/>
          <w:spacing w:val="-5"/>
        </w:rPr>
        <w:t>承包人应按合同约定对设计、材料、工程设备以及全部工程内容及其施工工艺进行全过程的质量检查</w:t>
      </w:r>
      <w:r>
        <w:rPr>
          <w:color w:val="auto"/>
          <w:spacing w:val="-4"/>
        </w:rPr>
        <w:t xml:space="preserve">和检验，并作详细记录，编制工程质量报表，报送监理人审查。 </w:t>
      </w:r>
    </w:p>
    <w:p>
      <w:pPr>
        <w:pStyle w:val="41"/>
        <w:numPr>
          <w:ilvl w:val="1"/>
          <w:numId w:val="22"/>
        </w:numPr>
        <w:tabs>
          <w:tab w:val="left" w:pos="754"/>
        </w:tabs>
        <w:spacing w:line="287" w:lineRule="exact"/>
        <w:ind w:hanging="542"/>
        <w:rPr>
          <w:rFonts w:ascii="Times New Roman" w:eastAsia="Times New Roman"/>
          <w:color w:val="auto"/>
        </w:rPr>
      </w:pPr>
      <w:bookmarkStart w:id="186" w:name="13.3_监理人的质量检查"/>
      <w:bookmarkEnd w:id="186"/>
      <w:r>
        <w:rPr>
          <w:color w:val="auto"/>
        </w:rPr>
        <w:t>监理人的质量检查</w:t>
      </w:r>
    </w:p>
    <w:p>
      <w:pPr>
        <w:pStyle w:val="8"/>
        <w:spacing w:before="181" w:line="417" w:lineRule="auto"/>
        <w:ind w:left="212" w:right="426" w:firstLine="420"/>
        <w:jc w:val="both"/>
        <w:rPr>
          <w:color w:val="auto"/>
        </w:rPr>
      </w:pPr>
      <w:r>
        <w:rPr>
          <w:color w:val="auto"/>
          <w:spacing w:val="-5"/>
        </w:rPr>
        <w:t>监理人有权对全部工程内容及其施工工艺、材料和工程设备进行检查和检验。承包人应为监理人的检</w:t>
      </w:r>
      <w:r>
        <w:rPr>
          <w:color w:val="auto"/>
          <w:spacing w:val="-7"/>
        </w:rPr>
        <w:t>查和检验提供方便，包括监理人到施工场地，或制造、加工地点，或合同约定的其他地方进行察看和查阅</w:t>
      </w:r>
      <w:r>
        <w:rPr>
          <w:color w:val="auto"/>
          <w:spacing w:val="-8"/>
        </w:rPr>
        <w:t>施工原始记录。承包人还应按监理人指示，进行施工场地取样试验、工程复核测量和设备性能检测，提供试验样品、提交试验报告和测量成果以及监理人要求进行的其他工作。监理人的检查和检验，不免除承包</w:t>
      </w:r>
      <w:r>
        <w:rPr>
          <w:color w:val="auto"/>
          <w:spacing w:val="-5"/>
        </w:rPr>
        <w:t xml:space="preserve">人按合同约定应负的责任。 </w:t>
      </w:r>
    </w:p>
    <w:p>
      <w:pPr>
        <w:pStyle w:val="41"/>
        <w:numPr>
          <w:ilvl w:val="1"/>
          <w:numId w:val="22"/>
        </w:numPr>
        <w:tabs>
          <w:tab w:val="left" w:pos="754"/>
        </w:tabs>
        <w:spacing w:line="284" w:lineRule="exact"/>
        <w:ind w:hanging="542"/>
        <w:rPr>
          <w:rFonts w:ascii="Times New Roman" w:eastAsia="Times New Roman"/>
          <w:color w:val="auto"/>
        </w:rPr>
      </w:pPr>
      <w:bookmarkStart w:id="187" w:name="13.4_工程隐蔽部位覆盖前的检查"/>
      <w:bookmarkEnd w:id="187"/>
      <w:r>
        <w:rPr>
          <w:color w:val="auto"/>
        </w:rPr>
        <w:t>工程隐蔽部位覆盖前的检查</w:t>
      </w:r>
    </w:p>
    <w:p>
      <w:pPr>
        <w:pStyle w:val="44"/>
        <w:numPr>
          <w:ilvl w:val="2"/>
          <w:numId w:val="22"/>
        </w:numPr>
        <w:tabs>
          <w:tab w:val="left" w:pos="1163"/>
        </w:tabs>
        <w:spacing w:before="181"/>
        <w:ind w:left="1162" w:hanging="530"/>
        <w:rPr>
          <w:color w:val="auto"/>
          <w:sz w:val="21"/>
        </w:rPr>
      </w:pPr>
      <w:r>
        <w:rPr>
          <w:color w:val="auto"/>
          <w:spacing w:val="-3"/>
          <w:sz w:val="21"/>
        </w:rPr>
        <w:t>通知监理人检查</w:t>
      </w:r>
      <w:r>
        <w:rPr>
          <w:color w:val="auto"/>
          <w:sz w:val="21"/>
        </w:rPr>
        <w:t xml:space="preserve"> </w:t>
      </w:r>
    </w:p>
    <w:p>
      <w:pPr>
        <w:pStyle w:val="8"/>
        <w:spacing w:before="7"/>
        <w:rPr>
          <w:color w:val="auto"/>
          <w:sz w:val="15"/>
        </w:rPr>
      </w:pPr>
    </w:p>
    <w:p>
      <w:pPr>
        <w:pStyle w:val="8"/>
        <w:spacing w:line="417" w:lineRule="auto"/>
        <w:ind w:left="212" w:right="426" w:firstLine="420"/>
        <w:jc w:val="both"/>
        <w:rPr>
          <w:color w:val="auto"/>
        </w:rPr>
      </w:pPr>
      <w:r>
        <w:rPr>
          <w:color w:val="auto"/>
          <w:spacing w:val="-5"/>
        </w:rPr>
        <w:t>经承包人自检确认的工程隐蔽部位具备覆盖条件后，承包人应通知监理人在约定的期限内检查。承包</w:t>
      </w:r>
      <w:r>
        <w:rPr>
          <w:color w:val="auto"/>
          <w:spacing w:val="-6"/>
        </w:rPr>
        <w:t>人的通知应附有自检记录和必要的检查资料。监理人应按时到场检查。经监理人检查确认质量符合隐蔽要求，并在检查记录上签字后，承包人才能进行覆盖。监理人检查确认质量不合格的，承包人应在监理人指</w:t>
      </w:r>
      <w:r>
        <w:rPr>
          <w:color w:val="auto"/>
          <w:spacing w:val="-4"/>
        </w:rPr>
        <w:t>示的时间内修整返工后，由监理人重新检查。</w:t>
      </w:r>
      <w:r>
        <w:rPr>
          <w:color w:val="auto"/>
        </w:rPr>
        <w:t xml:space="preserve"> </w:t>
      </w:r>
    </w:p>
    <w:p>
      <w:pPr>
        <w:pStyle w:val="44"/>
        <w:numPr>
          <w:ilvl w:val="2"/>
          <w:numId w:val="22"/>
        </w:numPr>
        <w:tabs>
          <w:tab w:val="left" w:pos="1163"/>
        </w:tabs>
        <w:ind w:left="1162" w:hanging="530"/>
        <w:rPr>
          <w:color w:val="auto"/>
          <w:sz w:val="21"/>
        </w:rPr>
      </w:pPr>
      <w:r>
        <w:rPr>
          <w:color w:val="auto"/>
          <w:spacing w:val="-3"/>
          <w:sz w:val="21"/>
        </w:rPr>
        <w:t>监理人未到场检查</w:t>
      </w:r>
      <w:r>
        <w:rPr>
          <w:color w:val="auto"/>
          <w:sz w:val="21"/>
        </w:rPr>
        <w:t xml:space="preserve"> </w:t>
      </w:r>
    </w:p>
    <w:p>
      <w:pPr>
        <w:pStyle w:val="8"/>
        <w:spacing w:before="6"/>
        <w:rPr>
          <w:color w:val="auto"/>
          <w:sz w:val="15"/>
        </w:rPr>
      </w:pPr>
    </w:p>
    <w:p>
      <w:pPr>
        <w:pStyle w:val="8"/>
        <w:spacing w:before="1" w:line="417" w:lineRule="auto"/>
        <w:ind w:left="212" w:right="354" w:firstLine="420"/>
        <w:rPr>
          <w:color w:val="auto"/>
        </w:rPr>
      </w:pPr>
      <w:r>
        <w:rPr>
          <w:color w:val="auto"/>
        </w:rPr>
        <w:t xml:space="preserve">监理人未按第 </w:t>
      </w:r>
      <w:r>
        <w:rPr>
          <w:rFonts w:ascii="Times New Roman" w:eastAsia="Times New Roman"/>
          <w:color w:val="auto"/>
        </w:rPr>
        <w:t xml:space="preserve">13.4.l </w:t>
      </w:r>
      <w:r>
        <w:rPr>
          <w:color w:val="auto"/>
        </w:rPr>
        <w:t xml:space="preserve">项约定的时间进行检查的，除监理人另有指示外，承包人可自行完成覆盖工作， 并作相应记录报送监理人，监理人应签字确认。监理人事后对检查记录有疑问的，可按第 </w:t>
      </w:r>
      <w:r>
        <w:rPr>
          <w:rFonts w:ascii="Times New Roman" w:eastAsia="Times New Roman"/>
          <w:color w:val="auto"/>
        </w:rPr>
        <w:t xml:space="preserve">13.4.3 </w:t>
      </w:r>
      <w:r>
        <w:rPr>
          <w:color w:val="auto"/>
        </w:rPr>
        <w:t>项的约定</w:t>
      </w:r>
    </w:p>
    <w:p>
      <w:pPr>
        <w:spacing w:line="417" w:lineRule="auto"/>
        <w:rPr>
          <w:color w:val="auto"/>
        </w:rPr>
        <w:sectPr>
          <w:pgSz w:w="11910" w:h="16840"/>
          <w:pgMar w:top="1560" w:right="700" w:bottom="1180" w:left="920" w:header="0" w:footer="995" w:gutter="0"/>
          <w:cols w:space="720" w:num="1"/>
        </w:sectPr>
      </w:pPr>
    </w:p>
    <w:p>
      <w:pPr>
        <w:pStyle w:val="8"/>
        <w:spacing w:before="45"/>
        <w:ind w:left="212"/>
        <w:rPr>
          <w:color w:val="auto"/>
        </w:rPr>
      </w:pPr>
      <w:r>
        <w:rPr>
          <w:color w:val="auto"/>
        </w:rPr>
        <w:t xml:space="preserve">重新检查。 </w:t>
      </w:r>
    </w:p>
    <w:p>
      <w:pPr>
        <w:pStyle w:val="8"/>
        <w:spacing w:before="7"/>
        <w:rPr>
          <w:color w:val="auto"/>
          <w:sz w:val="15"/>
        </w:rPr>
      </w:pPr>
    </w:p>
    <w:p>
      <w:pPr>
        <w:pStyle w:val="44"/>
        <w:numPr>
          <w:ilvl w:val="2"/>
          <w:numId w:val="22"/>
        </w:numPr>
        <w:tabs>
          <w:tab w:val="left" w:pos="1265"/>
        </w:tabs>
        <w:ind w:left="1264" w:hanging="632"/>
        <w:rPr>
          <w:color w:val="auto"/>
          <w:sz w:val="21"/>
        </w:rPr>
      </w:pPr>
      <w:r>
        <w:rPr>
          <w:color w:val="auto"/>
          <w:spacing w:val="-3"/>
          <w:sz w:val="21"/>
        </w:rPr>
        <w:t>监理人重新检查</w:t>
      </w:r>
      <w:r>
        <w:rPr>
          <w:color w:val="auto"/>
          <w:sz w:val="21"/>
        </w:rPr>
        <w:t xml:space="preserve"> </w:t>
      </w:r>
    </w:p>
    <w:p>
      <w:pPr>
        <w:pStyle w:val="8"/>
        <w:spacing w:before="7"/>
        <w:rPr>
          <w:color w:val="auto"/>
          <w:sz w:val="15"/>
        </w:rPr>
      </w:pPr>
    </w:p>
    <w:p>
      <w:pPr>
        <w:pStyle w:val="8"/>
        <w:spacing w:line="417" w:lineRule="auto"/>
        <w:ind w:left="212" w:right="323" w:firstLine="420"/>
        <w:rPr>
          <w:color w:val="auto"/>
        </w:rPr>
      </w:pPr>
      <w:r>
        <w:rPr>
          <w:color w:val="auto"/>
          <w:spacing w:val="-2"/>
        </w:rPr>
        <w:t xml:space="preserve">承包人按第 </w:t>
      </w:r>
      <w:r>
        <w:rPr>
          <w:rFonts w:ascii="Times New Roman" w:eastAsia="Times New Roman"/>
          <w:color w:val="auto"/>
        </w:rPr>
        <w:t xml:space="preserve">13.4.1 </w:t>
      </w:r>
      <w:r>
        <w:rPr>
          <w:color w:val="auto"/>
          <w:spacing w:val="-3"/>
        </w:rPr>
        <w:t xml:space="preserve">项或第 </w:t>
      </w:r>
      <w:r>
        <w:rPr>
          <w:rFonts w:ascii="Times New Roman" w:eastAsia="Times New Roman"/>
          <w:color w:val="auto"/>
        </w:rPr>
        <w:t>13.4.2</w:t>
      </w:r>
      <w:r>
        <w:rPr>
          <w:rFonts w:ascii="Times New Roman" w:eastAsia="Times New Roman"/>
          <w:color w:val="auto"/>
          <w:spacing w:val="4"/>
        </w:rPr>
        <w:t xml:space="preserve">  </w:t>
      </w:r>
      <w:r>
        <w:rPr>
          <w:color w:val="auto"/>
          <w:spacing w:val="-3"/>
        </w:rPr>
        <w:t>项覆盖工程隐蔽部位后，监理人对质量有疑问的，可要求承包人对</w:t>
      </w:r>
      <w:r>
        <w:rPr>
          <w:color w:val="auto"/>
          <w:spacing w:val="-6"/>
        </w:rPr>
        <w:t>已覆盖的部位进行钻孔探测或揭开重新检验，承包人应遵照执行，并在检验后重新覆盖恢复原状。经检验</w:t>
      </w:r>
      <w:r>
        <w:rPr>
          <w:color w:val="auto"/>
          <w:spacing w:val="-7"/>
        </w:rPr>
        <w:t>证明工程质量符合合同要求的，由发包人承担由此增加的费用和</w:t>
      </w:r>
      <w:r>
        <w:rPr>
          <w:color w:val="auto"/>
        </w:rPr>
        <w:t>（</w:t>
      </w:r>
      <w:r>
        <w:rPr>
          <w:color w:val="auto"/>
          <w:spacing w:val="-3"/>
        </w:rPr>
        <w:t>或</w:t>
      </w:r>
      <w:r>
        <w:rPr>
          <w:color w:val="auto"/>
          <w:spacing w:val="-32"/>
        </w:rPr>
        <w:t>）</w:t>
      </w:r>
      <w:r>
        <w:rPr>
          <w:color w:val="auto"/>
          <w:spacing w:val="-7"/>
        </w:rPr>
        <w:t xml:space="preserve">工期延误，并支付承包人合理利润； </w:t>
      </w:r>
      <w:r>
        <w:rPr>
          <w:color w:val="auto"/>
          <w:spacing w:val="-5"/>
        </w:rPr>
        <w:t>经检验证明工程质量不符合合同要求的，由此增加的费用和</w:t>
      </w:r>
      <w:r>
        <w:rPr>
          <w:color w:val="auto"/>
          <w:spacing w:val="-3"/>
        </w:rPr>
        <w:t>（</w:t>
      </w:r>
      <w:r>
        <w:rPr>
          <w:color w:val="auto"/>
        </w:rPr>
        <w:t>或</w:t>
      </w:r>
      <w:r>
        <w:rPr>
          <w:color w:val="auto"/>
          <w:spacing w:val="-3"/>
        </w:rPr>
        <w:t xml:space="preserve">）工期延误由承包人承担。 </w:t>
      </w:r>
    </w:p>
    <w:p>
      <w:pPr>
        <w:pStyle w:val="44"/>
        <w:numPr>
          <w:ilvl w:val="2"/>
          <w:numId w:val="22"/>
        </w:numPr>
        <w:tabs>
          <w:tab w:val="left" w:pos="1265"/>
        </w:tabs>
        <w:spacing w:line="268" w:lineRule="exact"/>
        <w:ind w:left="1264" w:hanging="632"/>
        <w:rPr>
          <w:color w:val="auto"/>
          <w:sz w:val="21"/>
        </w:rPr>
      </w:pPr>
      <w:r>
        <w:rPr>
          <w:color w:val="auto"/>
          <w:spacing w:val="-3"/>
          <w:sz w:val="21"/>
        </w:rPr>
        <w:t>承包人私自覆盖</w:t>
      </w:r>
      <w:r>
        <w:rPr>
          <w:color w:val="auto"/>
          <w:sz w:val="21"/>
        </w:rPr>
        <w:t xml:space="preserve"> </w:t>
      </w:r>
    </w:p>
    <w:p>
      <w:pPr>
        <w:pStyle w:val="8"/>
        <w:spacing w:before="6"/>
        <w:rPr>
          <w:color w:val="auto"/>
          <w:sz w:val="15"/>
        </w:rPr>
      </w:pPr>
    </w:p>
    <w:p>
      <w:pPr>
        <w:pStyle w:val="8"/>
        <w:spacing w:before="1" w:line="417" w:lineRule="auto"/>
        <w:ind w:left="212" w:right="426" w:firstLine="420"/>
        <w:rPr>
          <w:color w:val="auto"/>
        </w:rPr>
      </w:pPr>
      <w:r>
        <w:rPr>
          <w:color w:val="auto"/>
          <w:spacing w:val="-5"/>
        </w:rPr>
        <w:t>承包人未通知监理人到场检查，私自将工程隐蔽部位覆盖的，监理人有权指示承包人钻孔探测或揭开</w:t>
      </w:r>
      <w:r>
        <w:rPr>
          <w:color w:val="auto"/>
          <w:spacing w:val="-4"/>
        </w:rPr>
        <w:t>检查，由此增加的费用和</w:t>
      </w:r>
      <w:r>
        <w:rPr>
          <w:color w:val="auto"/>
        </w:rPr>
        <w:t>（或</w:t>
      </w:r>
      <w:r>
        <w:rPr>
          <w:color w:val="auto"/>
          <w:spacing w:val="-3"/>
        </w:rPr>
        <w:t xml:space="preserve">）工期延误由承包人承担。 </w:t>
      </w:r>
    </w:p>
    <w:p>
      <w:pPr>
        <w:pStyle w:val="41"/>
        <w:numPr>
          <w:ilvl w:val="1"/>
          <w:numId w:val="22"/>
        </w:numPr>
        <w:tabs>
          <w:tab w:val="left" w:pos="754"/>
        </w:tabs>
        <w:spacing w:line="287" w:lineRule="exact"/>
        <w:ind w:hanging="542"/>
        <w:rPr>
          <w:rFonts w:ascii="Times New Roman" w:eastAsia="Times New Roman"/>
          <w:color w:val="auto"/>
        </w:rPr>
      </w:pPr>
      <w:bookmarkStart w:id="188" w:name="13.5_清除不合格工程"/>
      <w:bookmarkEnd w:id="188"/>
      <w:r>
        <w:rPr>
          <w:color w:val="auto"/>
        </w:rPr>
        <w:t>清除不合格工程</w:t>
      </w:r>
    </w:p>
    <w:p>
      <w:pPr>
        <w:pStyle w:val="44"/>
        <w:numPr>
          <w:ilvl w:val="2"/>
          <w:numId w:val="22"/>
        </w:numPr>
        <w:tabs>
          <w:tab w:val="left" w:pos="1163"/>
        </w:tabs>
        <w:spacing w:before="180" w:line="417" w:lineRule="auto"/>
        <w:ind w:left="212" w:right="426" w:firstLine="420"/>
        <w:jc w:val="both"/>
        <w:rPr>
          <w:color w:val="auto"/>
          <w:sz w:val="21"/>
        </w:rPr>
      </w:pPr>
      <w:r>
        <w:rPr>
          <w:color w:val="auto"/>
          <w:spacing w:val="-6"/>
          <w:sz w:val="21"/>
        </w:rPr>
        <w:t>因承包人设计失误，使用不合格材料、工程设备，或采用不适当的施工工艺，或施工不当，造</w:t>
      </w:r>
      <w:r>
        <w:rPr>
          <w:color w:val="auto"/>
          <w:spacing w:val="-7"/>
          <w:sz w:val="21"/>
        </w:rPr>
        <w:t>成工程不合格的，监理人可以随时发出指示，要求承包人立即采取措施进行补救，直至达到合同要求的质</w:t>
      </w:r>
      <w:r>
        <w:rPr>
          <w:color w:val="auto"/>
          <w:spacing w:val="-5"/>
          <w:sz w:val="21"/>
        </w:rPr>
        <w:t>量标准，由此增加的费用和</w:t>
      </w:r>
      <w:r>
        <w:rPr>
          <w:color w:val="auto"/>
          <w:sz w:val="21"/>
        </w:rPr>
        <w:t>（</w:t>
      </w:r>
      <w:r>
        <w:rPr>
          <w:color w:val="auto"/>
          <w:spacing w:val="-3"/>
          <w:sz w:val="21"/>
        </w:rPr>
        <w:t>或</w:t>
      </w:r>
      <w:r>
        <w:rPr>
          <w:color w:val="auto"/>
          <w:sz w:val="21"/>
        </w:rPr>
        <w:t>）</w:t>
      </w:r>
      <w:r>
        <w:rPr>
          <w:color w:val="auto"/>
          <w:spacing w:val="-3"/>
          <w:sz w:val="21"/>
        </w:rPr>
        <w:t xml:space="preserve">工期延误由承包人承担。 </w:t>
      </w:r>
    </w:p>
    <w:p>
      <w:pPr>
        <w:pStyle w:val="44"/>
        <w:numPr>
          <w:ilvl w:val="2"/>
          <w:numId w:val="22"/>
        </w:numPr>
        <w:tabs>
          <w:tab w:val="left" w:pos="1265"/>
        </w:tabs>
        <w:spacing w:line="417" w:lineRule="auto"/>
        <w:ind w:left="212" w:right="426" w:firstLine="420"/>
        <w:jc w:val="both"/>
        <w:rPr>
          <w:color w:val="auto"/>
          <w:sz w:val="21"/>
        </w:rPr>
      </w:pPr>
      <w:r>
        <w:rPr>
          <w:color w:val="auto"/>
          <w:spacing w:val="-5"/>
          <w:sz w:val="21"/>
        </w:rPr>
        <w:t>由于发包人提供的材料或工程设备不合格造成的工程不合格，需要承包人采取措施补救的，发</w:t>
      </w:r>
      <w:r>
        <w:rPr>
          <w:color w:val="auto"/>
          <w:spacing w:val="-4"/>
          <w:sz w:val="21"/>
        </w:rPr>
        <w:t>包人应承担由此增加的费用和</w:t>
      </w:r>
      <w:r>
        <w:rPr>
          <w:color w:val="auto"/>
          <w:spacing w:val="-3"/>
          <w:sz w:val="21"/>
        </w:rPr>
        <w:t>（</w:t>
      </w:r>
      <w:r>
        <w:rPr>
          <w:color w:val="auto"/>
          <w:sz w:val="21"/>
        </w:rPr>
        <w:t>或</w:t>
      </w:r>
      <w:r>
        <w:rPr>
          <w:color w:val="auto"/>
          <w:spacing w:val="-3"/>
          <w:sz w:val="21"/>
        </w:rPr>
        <w:t>）工期延误，并支付承包人合理利润。</w:t>
      </w:r>
      <w:r>
        <w:rPr>
          <w:color w:val="auto"/>
          <w:sz w:val="21"/>
        </w:rPr>
        <w:t xml:space="preserve"> </w:t>
      </w:r>
    </w:p>
    <w:p>
      <w:pPr>
        <w:pStyle w:val="8"/>
        <w:spacing w:before="10"/>
        <w:rPr>
          <w:color w:val="auto"/>
          <w:sz w:val="20"/>
        </w:rPr>
      </w:pPr>
    </w:p>
    <w:p>
      <w:pPr>
        <w:pStyle w:val="37"/>
        <w:numPr>
          <w:ilvl w:val="0"/>
          <w:numId w:val="22"/>
        </w:numPr>
        <w:tabs>
          <w:tab w:val="left" w:pos="828"/>
        </w:tabs>
        <w:spacing w:before="1"/>
        <w:ind w:left="827" w:hanging="616"/>
        <w:rPr>
          <w:rFonts w:ascii="Cambria" w:eastAsia="Cambria"/>
          <w:color w:val="auto"/>
        </w:rPr>
      </w:pPr>
      <w:bookmarkStart w:id="189" w:name="14._试验和检验"/>
      <w:bookmarkEnd w:id="189"/>
      <w:r>
        <w:rPr>
          <w:color w:val="auto"/>
        </w:rPr>
        <w:t>试验和检验</w:t>
      </w:r>
    </w:p>
    <w:p>
      <w:pPr>
        <w:pStyle w:val="8"/>
        <w:spacing w:before="9"/>
        <w:rPr>
          <w:b/>
          <w:color w:val="auto"/>
          <w:sz w:val="34"/>
        </w:rPr>
      </w:pPr>
    </w:p>
    <w:p>
      <w:pPr>
        <w:pStyle w:val="41"/>
        <w:numPr>
          <w:ilvl w:val="1"/>
          <w:numId w:val="22"/>
        </w:numPr>
        <w:tabs>
          <w:tab w:val="left" w:pos="754"/>
        </w:tabs>
        <w:ind w:hanging="542"/>
        <w:rPr>
          <w:rFonts w:ascii="Times New Roman" w:eastAsia="Times New Roman"/>
          <w:color w:val="auto"/>
        </w:rPr>
      </w:pPr>
      <w:bookmarkStart w:id="190" w:name="14.1_材料、工程设备和工程的试验和检验"/>
      <w:bookmarkEnd w:id="190"/>
      <w:r>
        <w:rPr>
          <w:color w:val="auto"/>
        </w:rPr>
        <w:t>材料、工程设备和工程的试验和检验</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本款适用于竣工试验之前的试验和检验。</w:t>
      </w:r>
      <w:r>
        <w:rPr>
          <w:color w:val="auto"/>
          <w:sz w:val="21"/>
        </w:rPr>
        <w:t xml:space="preserve"> </w:t>
      </w:r>
    </w:p>
    <w:p>
      <w:pPr>
        <w:pStyle w:val="8"/>
        <w:spacing w:before="7"/>
        <w:rPr>
          <w:color w:val="auto"/>
          <w:sz w:val="15"/>
        </w:rPr>
      </w:pPr>
    </w:p>
    <w:p>
      <w:pPr>
        <w:pStyle w:val="44"/>
        <w:numPr>
          <w:ilvl w:val="2"/>
          <w:numId w:val="22"/>
        </w:numPr>
        <w:tabs>
          <w:tab w:val="left" w:pos="1265"/>
        </w:tabs>
        <w:spacing w:line="417" w:lineRule="auto"/>
        <w:ind w:left="212" w:right="426" w:firstLine="420"/>
        <w:jc w:val="both"/>
        <w:rPr>
          <w:rFonts w:ascii="Times New Roman" w:eastAsia="Times New Roman"/>
          <w:color w:val="auto"/>
          <w:sz w:val="21"/>
        </w:rPr>
      </w:pPr>
      <w:r>
        <w:rPr>
          <w:color w:val="auto"/>
          <w:spacing w:val="-6"/>
          <w:sz w:val="21"/>
        </w:rPr>
        <w:t>承包人应按合同约定进行材料、工程设备和工程的试验和检验，并为监理人对上述材料、工程</w:t>
      </w:r>
      <w:r>
        <w:rPr>
          <w:color w:val="auto"/>
          <w:spacing w:val="-5"/>
          <w:sz w:val="21"/>
        </w:rPr>
        <w:t>设备和工程的质量检查提供必要的试验资料和原始记录。按合同约定应由监理人与承包人共同进行试验和</w:t>
      </w:r>
      <w:r>
        <w:rPr>
          <w:color w:val="auto"/>
          <w:spacing w:val="-4"/>
          <w:sz w:val="21"/>
        </w:rPr>
        <w:t xml:space="preserve">检验的，由承包人负责提供必要的试验资料和原始记录。 </w:t>
      </w:r>
    </w:p>
    <w:p>
      <w:pPr>
        <w:pStyle w:val="44"/>
        <w:numPr>
          <w:ilvl w:val="2"/>
          <w:numId w:val="22"/>
        </w:numPr>
        <w:tabs>
          <w:tab w:val="left" w:pos="1163"/>
        </w:tabs>
        <w:spacing w:line="417" w:lineRule="auto"/>
        <w:ind w:left="212" w:right="320" w:firstLine="420"/>
        <w:rPr>
          <w:rFonts w:ascii="Times New Roman" w:eastAsia="Times New Roman"/>
          <w:color w:val="auto"/>
          <w:sz w:val="19"/>
        </w:rPr>
      </w:pPr>
      <w:r>
        <w:rPr>
          <w:color w:val="auto"/>
          <w:spacing w:val="-8"/>
          <w:sz w:val="21"/>
        </w:rPr>
        <w:t xml:space="preserve">监理人未按合同约定派员参加试验和检验的，除监理人另有指示外，承包人可自行试验和检验， </w:t>
      </w:r>
      <w:r>
        <w:rPr>
          <w:color w:val="auto"/>
          <w:spacing w:val="-5"/>
          <w:sz w:val="21"/>
        </w:rPr>
        <w:t xml:space="preserve">并应立即将试验和检验结果报送监理人，监理人应签字确认。 </w:t>
      </w:r>
    </w:p>
    <w:p>
      <w:pPr>
        <w:pStyle w:val="44"/>
        <w:numPr>
          <w:ilvl w:val="2"/>
          <w:numId w:val="22"/>
        </w:numPr>
        <w:tabs>
          <w:tab w:val="left" w:pos="1163"/>
        </w:tabs>
        <w:spacing w:line="417" w:lineRule="auto"/>
        <w:ind w:left="212" w:right="321" w:firstLine="420"/>
        <w:rPr>
          <w:rFonts w:ascii="Times New Roman" w:eastAsia="Times New Roman"/>
          <w:color w:val="auto"/>
          <w:sz w:val="19"/>
        </w:rPr>
      </w:pPr>
      <w:r>
        <w:rPr>
          <w:color w:val="auto"/>
          <w:spacing w:val="-4"/>
          <w:sz w:val="21"/>
        </w:rPr>
        <w:t>监理人对承包人的试验和检验结果有疑问的，或为查清承包人试验和检验成果的可靠性要求承包</w:t>
      </w:r>
      <w:r>
        <w:rPr>
          <w:color w:val="auto"/>
          <w:spacing w:val="-12"/>
          <w:sz w:val="21"/>
        </w:rPr>
        <w:t>人重新试验和检验的，可按合同约定由监理人与承包人共同进行。重新试验和检验的结果证明该项材料、工</w:t>
      </w:r>
      <w:r>
        <w:rPr>
          <w:color w:val="auto"/>
          <w:spacing w:val="-7"/>
          <w:sz w:val="21"/>
        </w:rPr>
        <w:t>程设备或工程的质量不符合合同要求的，由此增加的费用和</w:t>
      </w:r>
      <w:r>
        <w:rPr>
          <w:color w:val="auto"/>
          <w:spacing w:val="-3"/>
          <w:sz w:val="21"/>
        </w:rPr>
        <w:t>（或</w:t>
      </w:r>
      <w:r>
        <w:rPr>
          <w:color w:val="auto"/>
          <w:spacing w:val="-5"/>
          <w:sz w:val="21"/>
        </w:rPr>
        <w:t>）</w:t>
      </w:r>
      <w:r>
        <w:rPr>
          <w:color w:val="auto"/>
          <w:spacing w:val="-4"/>
          <w:sz w:val="21"/>
        </w:rPr>
        <w:t>工期延误由承包人承担；重新试验和检</w:t>
      </w:r>
      <w:r>
        <w:rPr>
          <w:color w:val="auto"/>
          <w:spacing w:val="-10"/>
          <w:sz w:val="21"/>
        </w:rPr>
        <w:t>验结果证明该项材料、工程设备和工程符合合同要求，由发包人承担由此增加的费用和</w:t>
      </w:r>
      <w:r>
        <w:rPr>
          <w:color w:val="auto"/>
          <w:sz w:val="21"/>
        </w:rPr>
        <w:t>（</w:t>
      </w:r>
      <w:r>
        <w:rPr>
          <w:color w:val="auto"/>
          <w:spacing w:val="-3"/>
          <w:sz w:val="21"/>
        </w:rPr>
        <w:t>或</w:t>
      </w:r>
      <w:r>
        <w:rPr>
          <w:color w:val="auto"/>
          <w:spacing w:val="-32"/>
          <w:sz w:val="21"/>
        </w:rPr>
        <w:t>）</w:t>
      </w:r>
      <w:r>
        <w:rPr>
          <w:color w:val="auto"/>
          <w:spacing w:val="-2"/>
          <w:sz w:val="21"/>
        </w:rPr>
        <w:t>工期延误，并</w:t>
      </w:r>
      <w:r>
        <w:rPr>
          <w:color w:val="auto"/>
          <w:spacing w:val="-3"/>
          <w:sz w:val="21"/>
        </w:rPr>
        <w:t>支付承包人合理利润。</w:t>
      </w:r>
      <w:r>
        <w:rPr>
          <w:color w:val="auto"/>
          <w:sz w:val="21"/>
        </w:rPr>
        <w:t xml:space="preserve"> </w:t>
      </w:r>
    </w:p>
    <w:p>
      <w:pPr>
        <w:spacing w:line="417" w:lineRule="auto"/>
        <w:rPr>
          <w:rFonts w:ascii="Times New Roman" w:eastAsia="Times New Roman"/>
          <w:color w:val="auto"/>
          <w:sz w:val="19"/>
        </w:rPr>
        <w:sectPr>
          <w:footerReference r:id="rId28" w:type="default"/>
          <w:pgSz w:w="11910" w:h="16840"/>
          <w:pgMar w:top="1560" w:right="700" w:bottom="1180" w:left="920" w:header="0" w:footer="995" w:gutter="0"/>
          <w:cols w:space="720" w:num="1"/>
        </w:sectPr>
      </w:pPr>
    </w:p>
    <w:p>
      <w:pPr>
        <w:pStyle w:val="41"/>
        <w:numPr>
          <w:ilvl w:val="1"/>
          <w:numId w:val="22"/>
        </w:numPr>
        <w:tabs>
          <w:tab w:val="left" w:pos="754"/>
        </w:tabs>
        <w:spacing w:before="45"/>
        <w:ind w:hanging="542"/>
        <w:jc w:val="both"/>
        <w:rPr>
          <w:rFonts w:ascii="Times New Roman" w:eastAsia="Times New Roman"/>
          <w:color w:val="auto"/>
        </w:rPr>
      </w:pPr>
      <w:bookmarkStart w:id="191" w:name="14.2_现场材料试验"/>
      <w:bookmarkEnd w:id="191"/>
      <w:r>
        <w:rPr>
          <w:color w:val="auto"/>
        </w:rPr>
        <w:t>现场材料试验</w:t>
      </w:r>
    </w:p>
    <w:p>
      <w:pPr>
        <w:pStyle w:val="44"/>
        <w:numPr>
          <w:ilvl w:val="2"/>
          <w:numId w:val="22"/>
        </w:numPr>
        <w:tabs>
          <w:tab w:val="left" w:pos="1268"/>
        </w:tabs>
        <w:spacing w:before="181" w:line="417" w:lineRule="auto"/>
        <w:ind w:left="212" w:right="434" w:firstLine="420"/>
        <w:rPr>
          <w:color w:val="auto"/>
          <w:sz w:val="19"/>
        </w:rPr>
      </w:pPr>
      <w:r>
        <w:rPr>
          <w:color w:val="auto"/>
          <w:spacing w:val="-1"/>
          <w:sz w:val="21"/>
        </w:rPr>
        <w:t>承包人根据合同约定或监理人指示进行的现场材料试验，应由承包人提供试验场所、试验人</w:t>
      </w:r>
      <w:r>
        <w:rPr>
          <w:color w:val="auto"/>
          <w:spacing w:val="-3"/>
          <w:sz w:val="21"/>
        </w:rPr>
        <w:t>员、试验设备器材以及其他必要的试验条件。</w:t>
      </w:r>
      <w:r>
        <w:rPr>
          <w:color w:val="auto"/>
          <w:sz w:val="21"/>
        </w:rPr>
        <w:t xml:space="preserve"> </w:t>
      </w:r>
    </w:p>
    <w:p>
      <w:pPr>
        <w:pStyle w:val="44"/>
        <w:numPr>
          <w:ilvl w:val="2"/>
          <w:numId w:val="22"/>
        </w:numPr>
        <w:tabs>
          <w:tab w:val="left" w:pos="1268"/>
        </w:tabs>
        <w:spacing w:line="417" w:lineRule="auto"/>
        <w:ind w:left="212" w:right="434" w:firstLine="420"/>
        <w:rPr>
          <w:color w:val="auto"/>
          <w:sz w:val="19"/>
        </w:rPr>
      </w:pPr>
      <w:r>
        <w:rPr>
          <w:color w:val="auto"/>
          <w:spacing w:val="-1"/>
          <w:sz w:val="21"/>
        </w:rPr>
        <w:t>监理人在必要时可以使用承包人的试验场所、试验设备器材以及其他试验条件，进行以工程</w:t>
      </w:r>
      <w:r>
        <w:rPr>
          <w:color w:val="auto"/>
          <w:spacing w:val="-3"/>
          <w:sz w:val="21"/>
        </w:rPr>
        <w:t xml:space="preserve">质量检查为目的的复核性材料试验，承包人应予以协助。 </w:t>
      </w:r>
    </w:p>
    <w:p>
      <w:pPr>
        <w:pStyle w:val="41"/>
        <w:numPr>
          <w:ilvl w:val="1"/>
          <w:numId w:val="22"/>
        </w:numPr>
        <w:tabs>
          <w:tab w:val="left" w:pos="754"/>
        </w:tabs>
        <w:spacing w:line="287" w:lineRule="exact"/>
        <w:ind w:hanging="542"/>
        <w:jc w:val="both"/>
        <w:rPr>
          <w:rFonts w:ascii="Times New Roman" w:eastAsia="Times New Roman"/>
          <w:color w:val="auto"/>
        </w:rPr>
      </w:pPr>
      <w:bookmarkStart w:id="192" w:name="14.3_现场工艺试验"/>
      <w:bookmarkEnd w:id="192"/>
      <w:r>
        <w:rPr>
          <w:color w:val="auto"/>
        </w:rPr>
        <w:t>现场工艺试验</w:t>
      </w:r>
    </w:p>
    <w:p>
      <w:pPr>
        <w:pStyle w:val="8"/>
        <w:spacing w:before="180" w:line="417" w:lineRule="auto"/>
        <w:ind w:left="212" w:right="404" w:firstLine="420"/>
        <w:rPr>
          <w:color w:val="auto"/>
        </w:rPr>
      </w:pPr>
      <w:r>
        <w:rPr>
          <w:color w:val="auto"/>
        </w:rPr>
        <w:t xml:space="preserve">承包人应按合同约定或监理人指示进行现场工艺试验。对大型的现场工艺试验，监理人认为必要时， 应由承包人根据监理人提出的工艺试验要求，编制工艺试验措施计划，报送监理人批准。 </w:t>
      </w:r>
    </w:p>
    <w:p>
      <w:pPr>
        <w:pStyle w:val="8"/>
        <w:spacing w:before="11"/>
        <w:rPr>
          <w:color w:val="auto"/>
          <w:sz w:val="20"/>
        </w:rPr>
      </w:pPr>
    </w:p>
    <w:p>
      <w:pPr>
        <w:pStyle w:val="37"/>
        <w:numPr>
          <w:ilvl w:val="0"/>
          <w:numId w:val="22"/>
        </w:numPr>
        <w:tabs>
          <w:tab w:val="left" w:pos="828"/>
        </w:tabs>
        <w:ind w:left="827" w:hanging="616"/>
        <w:jc w:val="both"/>
        <w:rPr>
          <w:rFonts w:ascii="Cambria" w:eastAsia="Cambria"/>
          <w:color w:val="auto"/>
        </w:rPr>
      </w:pPr>
      <w:bookmarkStart w:id="193" w:name="15._变更"/>
      <w:bookmarkEnd w:id="193"/>
      <w:r>
        <w:rPr>
          <w:color w:val="auto"/>
        </w:rPr>
        <w:t>变更</w:t>
      </w:r>
    </w:p>
    <w:p>
      <w:pPr>
        <w:pStyle w:val="8"/>
        <w:spacing w:before="12"/>
        <w:rPr>
          <w:b/>
          <w:color w:val="auto"/>
          <w:sz w:val="34"/>
        </w:rPr>
      </w:pPr>
    </w:p>
    <w:p>
      <w:pPr>
        <w:pStyle w:val="41"/>
        <w:numPr>
          <w:ilvl w:val="1"/>
          <w:numId w:val="22"/>
        </w:numPr>
        <w:tabs>
          <w:tab w:val="left" w:pos="754"/>
        </w:tabs>
        <w:ind w:hanging="542"/>
        <w:jc w:val="both"/>
        <w:rPr>
          <w:rFonts w:ascii="Times New Roman" w:eastAsia="Times New Roman"/>
          <w:color w:val="auto"/>
        </w:rPr>
      </w:pPr>
      <w:bookmarkStart w:id="194" w:name="15.1_变更权"/>
      <w:bookmarkEnd w:id="194"/>
      <w:r>
        <w:rPr>
          <w:color w:val="auto"/>
        </w:rPr>
        <w:t>变更权</w:t>
      </w:r>
    </w:p>
    <w:p>
      <w:pPr>
        <w:pStyle w:val="8"/>
        <w:spacing w:before="181" w:line="417" w:lineRule="auto"/>
        <w:ind w:left="212" w:right="321" w:firstLine="420"/>
        <w:rPr>
          <w:color w:val="auto"/>
        </w:rPr>
      </w:pPr>
      <w:r>
        <w:rPr>
          <w:color w:val="auto"/>
          <w:spacing w:val="-3"/>
        </w:rPr>
        <w:t xml:space="preserve">在履行合同过程中，经发包人同意，监理人可按第 </w:t>
      </w:r>
      <w:r>
        <w:rPr>
          <w:rFonts w:ascii="Times New Roman" w:eastAsia="Times New Roman"/>
          <w:color w:val="auto"/>
        </w:rPr>
        <w:t xml:space="preserve">15.3 </w:t>
      </w:r>
      <w:r>
        <w:rPr>
          <w:color w:val="auto"/>
          <w:spacing w:val="-3"/>
        </w:rPr>
        <w:t>款约定的变更程序向承包人作出有关发包人</w:t>
      </w:r>
      <w:r>
        <w:rPr>
          <w:color w:val="auto"/>
          <w:spacing w:val="-12"/>
        </w:rPr>
        <w:t>要求改变的变更指示，承包人应遵照执行。变更应在相应内容实施前提出，否则发包人应承担承包人损失。</w:t>
      </w:r>
      <w:r>
        <w:rPr>
          <w:color w:val="auto"/>
          <w:spacing w:val="-6"/>
        </w:rPr>
        <w:t>没有监理人的变更指示，承包人不得擅自变更。</w:t>
      </w:r>
      <w:r>
        <w:rPr>
          <w:color w:val="auto"/>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195" w:name="15.2_承包人的合理化建议"/>
      <w:bookmarkEnd w:id="195"/>
      <w:r>
        <w:rPr>
          <w:color w:val="auto"/>
        </w:rPr>
        <w:t>承包人的合理化建议</w:t>
      </w:r>
    </w:p>
    <w:p>
      <w:pPr>
        <w:pStyle w:val="44"/>
        <w:numPr>
          <w:ilvl w:val="2"/>
          <w:numId w:val="22"/>
        </w:numPr>
        <w:tabs>
          <w:tab w:val="left" w:pos="1163"/>
        </w:tabs>
        <w:spacing w:before="181" w:line="417" w:lineRule="auto"/>
        <w:ind w:left="212" w:right="426" w:firstLine="420"/>
        <w:jc w:val="both"/>
        <w:rPr>
          <w:rFonts w:ascii="Times New Roman" w:eastAsia="Times New Roman"/>
          <w:color w:val="auto"/>
          <w:sz w:val="19"/>
        </w:rPr>
      </w:pPr>
      <w:r>
        <w:rPr>
          <w:color w:val="auto"/>
          <w:spacing w:val="-6"/>
          <w:sz w:val="21"/>
        </w:rPr>
        <w:t>在履行合同过程中，承包人对发包人要求的合理化建议，均应以书面形式提交监理人。合理化建议书的内容应包括建议工作的详细说明、进度计划和效益以及与其他工作的协调等，并附必要的设计文</w:t>
      </w:r>
      <w:r>
        <w:rPr>
          <w:color w:val="auto"/>
          <w:spacing w:val="-11"/>
          <w:sz w:val="21"/>
        </w:rPr>
        <w:t xml:space="preserve">件。监理人应与发包人协商是否采纳建议。建议被采纳并构成变更的，应按第 </w:t>
      </w:r>
      <w:r>
        <w:rPr>
          <w:rFonts w:ascii="Times New Roman" w:eastAsia="Times New Roman"/>
          <w:color w:val="auto"/>
          <w:sz w:val="21"/>
        </w:rPr>
        <w:t>15.3</w:t>
      </w:r>
      <w:r>
        <w:rPr>
          <w:rFonts w:ascii="Times New Roman" w:eastAsia="Times New Roman"/>
          <w:color w:val="auto"/>
          <w:spacing w:val="20"/>
          <w:sz w:val="21"/>
        </w:rPr>
        <w:t xml:space="preserve"> </w:t>
      </w:r>
      <w:r>
        <w:rPr>
          <w:color w:val="auto"/>
          <w:spacing w:val="-3"/>
          <w:sz w:val="21"/>
        </w:rPr>
        <w:t xml:space="preserve">款约定向承包人发出变更指示。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5"/>
          <w:sz w:val="21"/>
        </w:rPr>
        <w:t>承包人提出的合理化建议降低了合同价格、缩短了工期或者提高了工程经济效益的，发包人可</w:t>
      </w:r>
      <w:r>
        <w:rPr>
          <w:color w:val="auto"/>
          <w:spacing w:val="-4"/>
          <w:sz w:val="21"/>
        </w:rPr>
        <w:t>按国家有关规定在专用合同条款中约定给予奖励。</w:t>
      </w:r>
      <w:r>
        <w:rPr>
          <w:color w:val="auto"/>
          <w:sz w:val="21"/>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196" w:name="15.3_变更程序"/>
      <w:bookmarkEnd w:id="196"/>
      <w:r>
        <w:rPr>
          <w:color w:val="auto"/>
        </w:rPr>
        <w:t>变更程序</w:t>
      </w:r>
    </w:p>
    <w:p>
      <w:pPr>
        <w:pStyle w:val="44"/>
        <w:numPr>
          <w:ilvl w:val="2"/>
          <w:numId w:val="22"/>
        </w:numPr>
        <w:tabs>
          <w:tab w:val="left" w:pos="1265"/>
        </w:tabs>
        <w:spacing w:before="178"/>
        <w:ind w:left="1264" w:hanging="632"/>
        <w:rPr>
          <w:rFonts w:ascii="Times New Roman" w:eastAsia="Times New Roman"/>
          <w:color w:val="auto"/>
          <w:sz w:val="21"/>
        </w:rPr>
      </w:pPr>
      <w:r>
        <w:rPr>
          <w:color w:val="auto"/>
          <w:spacing w:val="-3"/>
          <w:sz w:val="21"/>
        </w:rPr>
        <w:t>变更的提出</w:t>
      </w:r>
      <w:r>
        <w:rPr>
          <w:color w:val="auto"/>
          <w:sz w:val="21"/>
        </w:rPr>
        <w:t xml:space="preserve"> </w:t>
      </w:r>
    </w:p>
    <w:p>
      <w:pPr>
        <w:pStyle w:val="8"/>
        <w:spacing w:before="7"/>
        <w:rPr>
          <w:color w:val="auto"/>
          <w:sz w:val="15"/>
        </w:rPr>
      </w:pPr>
    </w:p>
    <w:p>
      <w:pPr>
        <w:pStyle w:val="44"/>
        <w:numPr>
          <w:ilvl w:val="0"/>
          <w:numId w:val="36"/>
        </w:numPr>
        <w:tabs>
          <w:tab w:val="left" w:pos="1165"/>
        </w:tabs>
        <w:spacing w:before="1" w:line="417" w:lineRule="auto"/>
        <w:ind w:right="426" w:firstLine="420"/>
        <w:jc w:val="both"/>
        <w:rPr>
          <w:color w:val="auto"/>
          <w:sz w:val="21"/>
        </w:rPr>
      </w:pPr>
      <w:r>
        <w:rPr>
          <w:color w:val="auto"/>
          <w:sz w:val="21"/>
        </w:rPr>
        <w:t>在合同履行过程中，监理人可向承包人发出变更意向书。变更意向书应说明变更的具体内容和</w:t>
      </w:r>
      <w:r>
        <w:rPr>
          <w:color w:val="auto"/>
          <w:spacing w:val="-5"/>
          <w:sz w:val="21"/>
        </w:rPr>
        <w:t>发包人对变更的时间要求，并附必要的相关资料。变更意向书应要求承包人提交包括拟实施变更工作的设</w:t>
      </w:r>
      <w:r>
        <w:rPr>
          <w:color w:val="auto"/>
          <w:spacing w:val="-7"/>
          <w:sz w:val="21"/>
        </w:rPr>
        <w:t>计和计划、措施和竣工时间等内容的实施方案。发包人同意承包人根据变更意向书要求提交的变更实施方</w:t>
      </w:r>
      <w:r>
        <w:rPr>
          <w:color w:val="auto"/>
          <w:spacing w:val="-10"/>
          <w:sz w:val="21"/>
        </w:rPr>
        <w:t xml:space="preserve">案的，由监理人按第 </w:t>
      </w:r>
      <w:r>
        <w:rPr>
          <w:rFonts w:ascii="Times New Roman" w:eastAsia="Times New Roman"/>
          <w:color w:val="auto"/>
          <w:sz w:val="21"/>
        </w:rPr>
        <w:t xml:space="preserve">15.3.3 </w:t>
      </w:r>
      <w:r>
        <w:rPr>
          <w:color w:val="auto"/>
          <w:spacing w:val="-3"/>
          <w:sz w:val="21"/>
        </w:rPr>
        <w:t>项约定发出变更指示。</w:t>
      </w:r>
    </w:p>
    <w:p>
      <w:pPr>
        <w:pStyle w:val="44"/>
        <w:numPr>
          <w:ilvl w:val="0"/>
          <w:numId w:val="36"/>
        </w:numPr>
        <w:tabs>
          <w:tab w:val="left" w:pos="1165"/>
        </w:tabs>
        <w:spacing w:line="417" w:lineRule="auto"/>
        <w:ind w:right="426" w:firstLine="420"/>
        <w:rPr>
          <w:color w:val="auto"/>
          <w:sz w:val="21"/>
        </w:rPr>
      </w:pPr>
      <w:r>
        <w:rPr>
          <w:color w:val="auto"/>
          <w:sz w:val="21"/>
        </w:rPr>
        <w:t>承包人收到监理人按合同约定发出的文件，经检查认为其中存在对发包人要求变更情形的，可</w:t>
      </w:r>
      <w:r>
        <w:rPr>
          <w:color w:val="auto"/>
          <w:spacing w:val="-5"/>
          <w:sz w:val="21"/>
        </w:rPr>
        <w:t>向监理人提出书面变更建议。变更建议应阐明要求变更的依据，以及实施该变更工作对合同价款和工期的</w:t>
      </w:r>
    </w:p>
    <w:p>
      <w:pPr>
        <w:spacing w:line="417" w:lineRule="auto"/>
        <w:rPr>
          <w:color w:val="auto"/>
          <w:sz w:val="21"/>
        </w:rPr>
        <w:sectPr>
          <w:pgSz w:w="11910" w:h="16840"/>
          <w:pgMar w:top="1540" w:right="700" w:bottom="1180" w:left="920" w:header="0" w:footer="995" w:gutter="0"/>
          <w:cols w:space="720" w:num="1"/>
        </w:sectPr>
      </w:pPr>
    </w:p>
    <w:p>
      <w:pPr>
        <w:pStyle w:val="8"/>
        <w:spacing w:before="45" w:line="417" w:lineRule="auto"/>
        <w:ind w:left="212" w:right="405"/>
        <w:jc w:val="both"/>
        <w:rPr>
          <w:color w:val="auto"/>
        </w:rPr>
      </w:pPr>
      <w:r>
        <w:rPr>
          <w:color w:val="auto"/>
        </w:rPr>
        <w:t xml:space="preserve">影响，并附必要的图纸和说明。监理人收到承包人书面建议后，应与发包人共同研究，确认存在变更的， 应在收到承包人书面建议后的 </w:t>
      </w:r>
      <w:r>
        <w:rPr>
          <w:rFonts w:ascii="Times New Roman" w:eastAsia="Times New Roman"/>
          <w:color w:val="auto"/>
        </w:rPr>
        <w:t xml:space="preserve">14 </w:t>
      </w:r>
      <w:r>
        <w:rPr>
          <w:color w:val="auto"/>
        </w:rPr>
        <w:t>天内作出变更指示。经研究后不同意作为变更的，应由监理人书面答复承包人。</w:t>
      </w:r>
    </w:p>
    <w:p>
      <w:pPr>
        <w:pStyle w:val="44"/>
        <w:numPr>
          <w:ilvl w:val="0"/>
          <w:numId w:val="36"/>
        </w:numPr>
        <w:tabs>
          <w:tab w:val="left" w:pos="1165"/>
        </w:tabs>
        <w:spacing w:line="417" w:lineRule="auto"/>
        <w:ind w:right="435" w:firstLine="420"/>
        <w:rPr>
          <w:color w:val="auto"/>
          <w:sz w:val="21"/>
        </w:rPr>
      </w:pPr>
      <w:r>
        <w:rPr>
          <w:color w:val="auto"/>
          <w:spacing w:val="-1"/>
          <w:sz w:val="21"/>
        </w:rPr>
        <w:t>承包人收到监理人的变更意向书后认为难以实施此项变更的，应立即通知监理人，说明原因并</w:t>
      </w:r>
      <w:r>
        <w:rPr>
          <w:color w:val="auto"/>
          <w:spacing w:val="-3"/>
          <w:sz w:val="21"/>
        </w:rPr>
        <w:t xml:space="preserve">附详细依据。监理人与承包人和发包人协商后确定撤销、改变或不改变原变更意向书。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变更估价</w:t>
      </w:r>
      <w:r>
        <w:rPr>
          <w:color w:val="auto"/>
          <w:sz w:val="21"/>
        </w:rPr>
        <w:t xml:space="preserve"> </w:t>
      </w:r>
    </w:p>
    <w:p>
      <w:pPr>
        <w:pStyle w:val="8"/>
        <w:spacing w:before="6"/>
        <w:rPr>
          <w:color w:val="auto"/>
          <w:sz w:val="15"/>
        </w:rPr>
      </w:pPr>
    </w:p>
    <w:p>
      <w:pPr>
        <w:pStyle w:val="8"/>
        <w:spacing w:before="1"/>
        <w:ind w:left="633"/>
        <w:rPr>
          <w:rFonts w:ascii="Times New Roman" w:eastAsia="Times New Roman"/>
          <w:color w:val="auto"/>
        </w:rPr>
      </w:pPr>
      <w:r>
        <w:rPr>
          <w:color w:val="auto"/>
        </w:rPr>
        <w:t xml:space="preserve">监理人应按照第 </w:t>
      </w:r>
      <w:r>
        <w:rPr>
          <w:rFonts w:ascii="Times New Roman" w:eastAsia="Times New Roman"/>
          <w:color w:val="auto"/>
        </w:rPr>
        <w:t xml:space="preserve">3.5 </w:t>
      </w:r>
      <w:r>
        <w:rPr>
          <w:color w:val="auto"/>
        </w:rPr>
        <w:t xml:space="preserve">款商定或确定变更价格。变更价格应包括合理的利润，并应考虑承包人根据第 </w:t>
      </w:r>
      <w:r>
        <w:rPr>
          <w:rFonts w:ascii="Times New Roman" w:eastAsia="Times New Roman"/>
          <w:color w:val="auto"/>
        </w:rPr>
        <w:t>15.2</w:t>
      </w:r>
    </w:p>
    <w:p>
      <w:pPr>
        <w:pStyle w:val="8"/>
        <w:spacing w:before="3"/>
        <w:rPr>
          <w:rFonts w:ascii="Times New Roman"/>
          <w:color w:val="auto"/>
          <w:sz w:val="17"/>
        </w:rPr>
      </w:pPr>
    </w:p>
    <w:p>
      <w:pPr>
        <w:pStyle w:val="8"/>
        <w:ind w:left="212"/>
        <w:rPr>
          <w:color w:val="auto"/>
        </w:rPr>
      </w:pPr>
      <w:r>
        <w:rPr>
          <w:color w:val="auto"/>
        </w:rPr>
        <w:t xml:space="preserve">款提出的合理化建议。 </w:t>
      </w:r>
    </w:p>
    <w:p>
      <w:pPr>
        <w:pStyle w:val="8"/>
        <w:spacing w:before="7"/>
        <w:rPr>
          <w:color w:val="auto"/>
          <w:sz w:val="15"/>
        </w:rPr>
      </w:pPr>
    </w:p>
    <w:p>
      <w:pPr>
        <w:pStyle w:val="44"/>
        <w:numPr>
          <w:ilvl w:val="2"/>
          <w:numId w:val="22"/>
        </w:numPr>
        <w:tabs>
          <w:tab w:val="left" w:pos="1265"/>
        </w:tabs>
        <w:ind w:left="1264" w:hanging="632"/>
        <w:rPr>
          <w:rFonts w:ascii="Times New Roman" w:eastAsia="Times New Roman"/>
          <w:color w:val="auto"/>
          <w:sz w:val="21"/>
        </w:rPr>
      </w:pPr>
      <w:r>
        <w:rPr>
          <w:color w:val="auto"/>
          <w:spacing w:val="-3"/>
          <w:sz w:val="21"/>
        </w:rPr>
        <w:t>变更指示</w:t>
      </w:r>
      <w:r>
        <w:rPr>
          <w:color w:val="auto"/>
          <w:sz w:val="21"/>
        </w:rPr>
        <w:t xml:space="preserve"> </w:t>
      </w:r>
    </w:p>
    <w:p>
      <w:pPr>
        <w:pStyle w:val="8"/>
        <w:spacing w:before="7"/>
        <w:rPr>
          <w:color w:val="auto"/>
          <w:sz w:val="15"/>
        </w:rPr>
      </w:pPr>
    </w:p>
    <w:p>
      <w:pPr>
        <w:pStyle w:val="44"/>
        <w:numPr>
          <w:ilvl w:val="0"/>
          <w:numId w:val="37"/>
        </w:numPr>
        <w:tabs>
          <w:tab w:val="left" w:pos="1163"/>
        </w:tabs>
        <w:ind w:hanging="530"/>
        <w:rPr>
          <w:color w:val="auto"/>
          <w:sz w:val="21"/>
        </w:rPr>
      </w:pPr>
      <w:r>
        <w:rPr>
          <w:color w:val="auto"/>
          <w:spacing w:val="-3"/>
          <w:sz w:val="21"/>
        </w:rPr>
        <w:t>变更指示只能由监理人发出。</w:t>
      </w:r>
    </w:p>
    <w:p>
      <w:pPr>
        <w:pStyle w:val="8"/>
        <w:spacing w:before="7"/>
        <w:rPr>
          <w:color w:val="auto"/>
          <w:sz w:val="15"/>
        </w:rPr>
      </w:pPr>
    </w:p>
    <w:p>
      <w:pPr>
        <w:pStyle w:val="44"/>
        <w:numPr>
          <w:ilvl w:val="0"/>
          <w:numId w:val="37"/>
        </w:numPr>
        <w:tabs>
          <w:tab w:val="left" w:pos="1165"/>
        </w:tabs>
        <w:spacing w:line="417" w:lineRule="auto"/>
        <w:ind w:left="212" w:right="436" w:firstLine="420"/>
        <w:rPr>
          <w:color w:val="auto"/>
          <w:sz w:val="21"/>
        </w:rPr>
      </w:pPr>
      <w:r>
        <w:rPr>
          <w:color w:val="auto"/>
          <w:spacing w:val="-1"/>
          <w:sz w:val="21"/>
        </w:rPr>
        <w:t>变更指示应说明变更的目的、范围、变更内容以及变更的工程量及其进度和技术要求，并附有</w:t>
      </w:r>
      <w:r>
        <w:rPr>
          <w:color w:val="auto"/>
          <w:spacing w:val="-3"/>
          <w:sz w:val="21"/>
        </w:rPr>
        <w:t>关图纸和文件。承包人收到变更指示后，应按变更指示进行变更工作。</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197" w:name="15.4_暂列金额"/>
      <w:bookmarkEnd w:id="197"/>
      <w:r>
        <w:rPr>
          <w:color w:val="auto"/>
        </w:rPr>
        <w:t>暂列金额</w:t>
      </w:r>
    </w:p>
    <w:p>
      <w:pPr>
        <w:pStyle w:val="8"/>
        <w:spacing w:before="181" w:line="417" w:lineRule="auto"/>
        <w:ind w:left="212" w:right="431" w:firstLine="420"/>
        <w:rPr>
          <w:color w:val="auto"/>
        </w:rPr>
      </w:pPr>
      <w:r>
        <w:rPr>
          <w:color w:val="auto"/>
          <w:spacing w:val="-9"/>
        </w:rPr>
        <w:t xml:space="preserve">经发包人同意，承包人可使用暂列金额，但应按照第 </w:t>
      </w:r>
      <w:r>
        <w:rPr>
          <w:rFonts w:ascii="Times New Roman" w:eastAsia="Times New Roman"/>
          <w:color w:val="auto"/>
        </w:rPr>
        <w:t xml:space="preserve">15.6 </w:t>
      </w:r>
      <w:r>
        <w:rPr>
          <w:color w:val="auto"/>
          <w:spacing w:val="-6"/>
        </w:rPr>
        <w:t xml:space="preserve">款规定的程序进行，并对合同价格进行相应调整。 </w:t>
      </w:r>
    </w:p>
    <w:p>
      <w:pPr>
        <w:pStyle w:val="44"/>
        <w:numPr>
          <w:ilvl w:val="1"/>
          <w:numId w:val="22"/>
        </w:numPr>
        <w:tabs>
          <w:tab w:val="left" w:pos="879"/>
        </w:tabs>
        <w:spacing w:before="24"/>
        <w:ind w:left="878" w:hanging="667"/>
        <w:rPr>
          <w:rFonts w:ascii="Times New Roman" w:eastAsia="Times New Roman"/>
          <w:color w:val="auto"/>
          <w:sz w:val="32"/>
        </w:rPr>
      </w:pPr>
      <w:bookmarkStart w:id="198" w:name="15.5_计日工（A）"/>
      <w:bookmarkEnd w:id="198"/>
      <w:r>
        <w:rPr>
          <w:color w:val="auto"/>
          <w:spacing w:val="-1"/>
          <w:sz w:val="21"/>
        </w:rPr>
        <w:t>计日工</w:t>
      </w:r>
      <w:r>
        <w:rPr>
          <w:color w:val="auto"/>
          <w:sz w:val="21"/>
        </w:rPr>
        <w:t>（</w:t>
      </w:r>
      <w:r>
        <w:rPr>
          <w:rFonts w:ascii="Arial" w:eastAsia="Arial"/>
          <w:color w:val="auto"/>
          <w:sz w:val="21"/>
        </w:rPr>
        <w:t>A</w:t>
      </w:r>
      <w:r>
        <w:rPr>
          <w:color w:val="auto"/>
          <w:sz w:val="21"/>
        </w:rPr>
        <w:t>）</w:t>
      </w:r>
    </w:p>
    <w:p>
      <w:pPr>
        <w:pStyle w:val="44"/>
        <w:numPr>
          <w:ilvl w:val="2"/>
          <w:numId w:val="22"/>
        </w:numPr>
        <w:tabs>
          <w:tab w:val="left" w:pos="1163"/>
        </w:tabs>
        <w:spacing w:before="232" w:line="417" w:lineRule="auto"/>
        <w:ind w:left="212" w:right="426" w:firstLine="420"/>
        <w:rPr>
          <w:rFonts w:ascii="Times New Roman" w:eastAsia="Times New Roman"/>
          <w:color w:val="auto"/>
          <w:sz w:val="19"/>
        </w:rPr>
      </w:pPr>
      <w:r>
        <w:rPr>
          <w:color w:val="auto"/>
          <w:spacing w:val="-5"/>
          <w:sz w:val="21"/>
        </w:rPr>
        <w:t>发包人认为有必要时，由监理人通知承包人以计日工方式实施变更的零星工作。其价款按列入</w:t>
      </w:r>
      <w:r>
        <w:rPr>
          <w:color w:val="auto"/>
          <w:spacing w:val="-4"/>
          <w:sz w:val="21"/>
        </w:rPr>
        <w:t>合同中的计日工计价子目及其单价进行计算。</w:t>
      </w:r>
      <w:r>
        <w:rPr>
          <w:color w:val="auto"/>
          <w:sz w:val="21"/>
        </w:rPr>
        <w:t xml:space="preserve"> </w:t>
      </w:r>
    </w:p>
    <w:p>
      <w:pPr>
        <w:pStyle w:val="44"/>
        <w:numPr>
          <w:ilvl w:val="2"/>
          <w:numId w:val="22"/>
        </w:numPr>
        <w:tabs>
          <w:tab w:val="left" w:pos="1265"/>
        </w:tabs>
        <w:spacing w:line="417" w:lineRule="auto"/>
        <w:ind w:left="212" w:right="426" w:firstLine="420"/>
        <w:rPr>
          <w:rFonts w:ascii="Times New Roman" w:eastAsia="Times New Roman"/>
          <w:color w:val="auto"/>
          <w:sz w:val="21"/>
        </w:rPr>
      </w:pPr>
      <w:r>
        <w:rPr>
          <w:color w:val="auto"/>
          <w:spacing w:val="-5"/>
          <w:sz w:val="21"/>
        </w:rPr>
        <w:t>采用计日工计价的任何一项变更工作，应从暂列金额中支付，承包人应在该项变更的实施过程</w:t>
      </w:r>
      <w:r>
        <w:rPr>
          <w:color w:val="auto"/>
          <w:spacing w:val="-4"/>
          <w:sz w:val="21"/>
        </w:rPr>
        <w:t xml:space="preserve">中，每天提交以下报表和有关凭证报送监理人批准： </w:t>
      </w:r>
    </w:p>
    <w:p>
      <w:pPr>
        <w:pStyle w:val="44"/>
        <w:numPr>
          <w:ilvl w:val="0"/>
          <w:numId w:val="38"/>
        </w:numPr>
        <w:tabs>
          <w:tab w:val="left" w:pos="1163"/>
        </w:tabs>
        <w:spacing w:line="269" w:lineRule="exact"/>
        <w:ind w:hanging="530"/>
        <w:rPr>
          <w:color w:val="auto"/>
          <w:sz w:val="21"/>
        </w:rPr>
      </w:pPr>
      <w:r>
        <w:rPr>
          <w:color w:val="auto"/>
          <w:spacing w:val="-3"/>
          <w:sz w:val="21"/>
        </w:rPr>
        <w:t>工作名称、内容和数量；</w:t>
      </w:r>
    </w:p>
    <w:p>
      <w:pPr>
        <w:pStyle w:val="8"/>
        <w:spacing w:before="6"/>
        <w:rPr>
          <w:color w:val="auto"/>
          <w:sz w:val="15"/>
        </w:rPr>
      </w:pPr>
    </w:p>
    <w:p>
      <w:pPr>
        <w:pStyle w:val="44"/>
        <w:numPr>
          <w:ilvl w:val="0"/>
          <w:numId w:val="38"/>
        </w:numPr>
        <w:tabs>
          <w:tab w:val="left" w:pos="1163"/>
        </w:tabs>
        <w:ind w:hanging="530"/>
        <w:rPr>
          <w:color w:val="auto"/>
          <w:sz w:val="21"/>
        </w:rPr>
      </w:pPr>
      <w:r>
        <w:rPr>
          <w:color w:val="auto"/>
          <w:spacing w:val="-3"/>
          <w:sz w:val="21"/>
        </w:rPr>
        <w:t>投入该工作所有人员的姓名、专业</w:t>
      </w:r>
      <w:r>
        <w:rPr>
          <w:rFonts w:ascii="Times New Roman" w:eastAsia="Times New Roman"/>
          <w:color w:val="auto"/>
          <w:sz w:val="21"/>
        </w:rPr>
        <w:t>/</w:t>
      </w:r>
      <w:r>
        <w:rPr>
          <w:color w:val="auto"/>
          <w:spacing w:val="-3"/>
          <w:sz w:val="21"/>
        </w:rPr>
        <w:t>工种、级别和耗用工时；</w:t>
      </w:r>
    </w:p>
    <w:p>
      <w:pPr>
        <w:pStyle w:val="8"/>
        <w:spacing w:before="7"/>
        <w:rPr>
          <w:color w:val="auto"/>
          <w:sz w:val="15"/>
        </w:rPr>
      </w:pPr>
    </w:p>
    <w:p>
      <w:pPr>
        <w:pStyle w:val="44"/>
        <w:numPr>
          <w:ilvl w:val="0"/>
          <w:numId w:val="38"/>
        </w:numPr>
        <w:tabs>
          <w:tab w:val="left" w:pos="1163"/>
        </w:tabs>
        <w:ind w:hanging="530"/>
        <w:rPr>
          <w:color w:val="auto"/>
          <w:sz w:val="21"/>
        </w:rPr>
      </w:pPr>
      <w:r>
        <w:rPr>
          <w:color w:val="auto"/>
          <w:spacing w:val="-3"/>
          <w:sz w:val="21"/>
        </w:rPr>
        <w:t>投入该工作的材料类别和数量；</w:t>
      </w:r>
    </w:p>
    <w:p>
      <w:pPr>
        <w:pStyle w:val="8"/>
        <w:spacing w:before="7"/>
        <w:rPr>
          <w:color w:val="auto"/>
          <w:sz w:val="15"/>
        </w:rPr>
      </w:pPr>
    </w:p>
    <w:p>
      <w:pPr>
        <w:pStyle w:val="44"/>
        <w:numPr>
          <w:ilvl w:val="0"/>
          <w:numId w:val="38"/>
        </w:numPr>
        <w:tabs>
          <w:tab w:val="left" w:pos="1163"/>
        </w:tabs>
        <w:ind w:hanging="530"/>
        <w:rPr>
          <w:color w:val="auto"/>
          <w:sz w:val="21"/>
        </w:rPr>
      </w:pPr>
      <w:r>
        <w:rPr>
          <w:color w:val="auto"/>
          <w:spacing w:val="-3"/>
          <w:sz w:val="21"/>
        </w:rPr>
        <w:t>投入该工作的施工设备型号、台数和耗用台时；</w:t>
      </w:r>
    </w:p>
    <w:p>
      <w:pPr>
        <w:pStyle w:val="8"/>
        <w:spacing w:before="7"/>
        <w:rPr>
          <w:color w:val="auto"/>
          <w:sz w:val="15"/>
        </w:rPr>
      </w:pPr>
    </w:p>
    <w:p>
      <w:pPr>
        <w:pStyle w:val="44"/>
        <w:numPr>
          <w:ilvl w:val="0"/>
          <w:numId w:val="38"/>
        </w:numPr>
        <w:tabs>
          <w:tab w:val="left" w:pos="1163"/>
        </w:tabs>
        <w:ind w:hanging="530"/>
        <w:rPr>
          <w:color w:val="auto"/>
          <w:sz w:val="21"/>
        </w:rPr>
      </w:pPr>
      <w:r>
        <w:rPr>
          <w:color w:val="auto"/>
          <w:spacing w:val="-3"/>
          <w:sz w:val="21"/>
        </w:rPr>
        <w:t>监理人要求提交的其他资料和凭证。</w:t>
      </w:r>
      <w:r>
        <w:rPr>
          <w:color w:val="auto"/>
          <w:sz w:val="21"/>
        </w:rPr>
        <w:t xml:space="preserve"> </w:t>
      </w:r>
    </w:p>
    <w:p>
      <w:pPr>
        <w:pStyle w:val="8"/>
        <w:spacing w:before="7"/>
        <w:rPr>
          <w:color w:val="auto"/>
          <w:sz w:val="15"/>
        </w:rPr>
      </w:pP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10"/>
          <w:sz w:val="21"/>
        </w:rPr>
        <w:t xml:space="preserve">计日工由承包人汇总后，按第 </w:t>
      </w:r>
      <w:r>
        <w:rPr>
          <w:rFonts w:ascii="Times New Roman" w:eastAsia="Times New Roman"/>
          <w:color w:val="auto"/>
          <w:sz w:val="21"/>
        </w:rPr>
        <w:t>17.3.3</w:t>
      </w:r>
      <w:r>
        <w:rPr>
          <w:rFonts w:ascii="Times New Roman" w:eastAsia="Times New Roman"/>
          <w:color w:val="auto"/>
          <w:spacing w:val="15"/>
          <w:sz w:val="21"/>
        </w:rPr>
        <w:t xml:space="preserve"> </w:t>
      </w:r>
      <w:r>
        <w:rPr>
          <w:color w:val="auto"/>
          <w:spacing w:val="-6"/>
          <w:sz w:val="21"/>
        </w:rPr>
        <w:t>项的约定列入进度付款申请单，由监理人复核并经发包人</w:t>
      </w:r>
      <w:r>
        <w:rPr>
          <w:color w:val="auto"/>
          <w:spacing w:val="-4"/>
          <w:sz w:val="21"/>
        </w:rPr>
        <w:t>同意后列入进度付款。</w:t>
      </w:r>
      <w:r>
        <w:rPr>
          <w:color w:val="auto"/>
          <w:sz w:val="21"/>
        </w:rPr>
        <w:t xml:space="preserve"> </w:t>
      </w:r>
    </w:p>
    <w:p>
      <w:pPr>
        <w:pStyle w:val="44"/>
        <w:numPr>
          <w:ilvl w:val="1"/>
          <w:numId w:val="39"/>
        </w:numPr>
        <w:tabs>
          <w:tab w:val="left" w:pos="879"/>
        </w:tabs>
        <w:spacing w:before="24"/>
        <w:ind w:hanging="667"/>
        <w:rPr>
          <w:color w:val="auto"/>
          <w:sz w:val="21"/>
        </w:rPr>
      </w:pPr>
      <w:bookmarkStart w:id="199" w:name="15.5_计日工（B）"/>
      <w:bookmarkEnd w:id="199"/>
      <w:r>
        <w:rPr>
          <w:color w:val="auto"/>
          <w:spacing w:val="-1"/>
          <w:sz w:val="21"/>
        </w:rPr>
        <w:t>计日工</w:t>
      </w:r>
      <w:r>
        <w:rPr>
          <w:color w:val="auto"/>
          <w:sz w:val="21"/>
        </w:rPr>
        <w:t>（</w:t>
      </w:r>
      <w:r>
        <w:rPr>
          <w:rFonts w:ascii="Arial" w:eastAsia="Arial"/>
          <w:color w:val="auto"/>
          <w:sz w:val="21"/>
        </w:rPr>
        <w:t>B</w:t>
      </w:r>
      <w:r>
        <w:rPr>
          <w:color w:val="auto"/>
          <w:sz w:val="21"/>
        </w:rPr>
        <w:t>）</w:t>
      </w:r>
    </w:p>
    <w:p>
      <w:pPr>
        <w:pStyle w:val="8"/>
        <w:spacing w:before="231"/>
        <w:ind w:left="633"/>
        <w:rPr>
          <w:color w:val="auto"/>
        </w:rPr>
      </w:pPr>
      <w:r>
        <w:rPr>
          <w:color w:val="auto"/>
        </w:rPr>
        <w:t xml:space="preserve">签约合同价包括计日工的，按合同约定进行支付。 </w:t>
      </w:r>
    </w:p>
    <w:p>
      <w:pPr>
        <w:rPr>
          <w:color w:val="auto"/>
        </w:rPr>
        <w:sectPr>
          <w:pgSz w:w="11910" w:h="16840"/>
          <w:pgMar w:top="1560" w:right="700" w:bottom="1180" w:left="920" w:header="0" w:footer="995" w:gutter="0"/>
          <w:cols w:space="720" w:num="1"/>
        </w:sectPr>
      </w:pPr>
    </w:p>
    <w:p>
      <w:pPr>
        <w:pStyle w:val="44"/>
        <w:numPr>
          <w:ilvl w:val="1"/>
          <w:numId w:val="39"/>
        </w:numPr>
        <w:tabs>
          <w:tab w:val="left" w:pos="879"/>
        </w:tabs>
        <w:spacing w:before="69"/>
        <w:ind w:hanging="667"/>
        <w:rPr>
          <w:color w:val="auto"/>
          <w:sz w:val="21"/>
        </w:rPr>
      </w:pPr>
      <w:bookmarkStart w:id="200" w:name="15.6_暂估价（A）"/>
      <w:bookmarkEnd w:id="200"/>
      <w:r>
        <w:rPr>
          <w:color w:val="auto"/>
          <w:spacing w:val="-1"/>
          <w:sz w:val="21"/>
        </w:rPr>
        <w:t>暂估价</w:t>
      </w:r>
      <w:r>
        <w:rPr>
          <w:color w:val="auto"/>
          <w:sz w:val="21"/>
        </w:rPr>
        <w:t>（</w:t>
      </w:r>
      <w:r>
        <w:rPr>
          <w:rFonts w:ascii="Arial" w:eastAsia="Arial"/>
          <w:color w:val="auto"/>
          <w:sz w:val="21"/>
        </w:rPr>
        <w:t>A</w:t>
      </w:r>
      <w:r>
        <w:rPr>
          <w:color w:val="auto"/>
          <w:sz w:val="21"/>
        </w:rPr>
        <w:t>）</w:t>
      </w:r>
    </w:p>
    <w:p>
      <w:pPr>
        <w:pStyle w:val="44"/>
        <w:numPr>
          <w:ilvl w:val="2"/>
          <w:numId w:val="39"/>
        </w:numPr>
        <w:tabs>
          <w:tab w:val="left" w:pos="1265"/>
        </w:tabs>
        <w:spacing w:before="232" w:line="417" w:lineRule="auto"/>
        <w:ind w:right="426" w:firstLine="420"/>
        <w:jc w:val="both"/>
        <w:rPr>
          <w:color w:val="auto"/>
          <w:sz w:val="21"/>
        </w:rPr>
      </w:pPr>
      <w:r>
        <w:rPr>
          <w:color w:val="auto"/>
          <w:spacing w:val="-5"/>
          <w:sz w:val="21"/>
        </w:rPr>
        <w:t>发包人在价格清单中给定暂估价的专业服务、材料、工程设备和专业工程属于依法必须招标的</w:t>
      </w:r>
      <w:r>
        <w:rPr>
          <w:color w:val="auto"/>
          <w:spacing w:val="-6"/>
          <w:sz w:val="21"/>
        </w:rPr>
        <w:t>范围并达到规定的规模标准的，由发包人和承包人以招标的方式选择供应商或分包人。发包人和承包人的权利义务关系在专用合同条款中约定。中标金额与价格清单中所列的暂估价的金额差以及相应的税金等其</w:t>
      </w:r>
      <w:r>
        <w:rPr>
          <w:color w:val="auto"/>
          <w:spacing w:val="-4"/>
          <w:sz w:val="21"/>
        </w:rPr>
        <w:t>他费用列入合同价格。</w:t>
      </w:r>
    </w:p>
    <w:p>
      <w:pPr>
        <w:pStyle w:val="44"/>
        <w:numPr>
          <w:ilvl w:val="2"/>
          <w:numId w:val="39"/>
        </w:numPr>
        <w:tabs>
          <w:tab w:val="left" w:pos="1163"/>
        </w:tabs>
        <w:spacing w:line="417" w:lineRule="auto"/>
        <w:ind w:right="426" w:firstLine="420"/>
        <w:jc w:val="both"/>
        <w:rPr>
          <w:color w:val="auto"/>
          <w:sz w:val="21"/>
        </w:rPr>
      </w:pPr>
      <w:r>
        <w:rPr>
          <w:color w:val="auto"/>
          <w:spacing w:val="-4"/>
          <w:sz w:val="21"/>
        </w:rPr>
        <w:t>发包人在价格清单中给定暂估价的专业服务、材料和工程设备不属于依法必须招标的范围或未</w:t>
      </w:r>
      <w:r>
        <w:rPr>
          <w:color w:val="auto"/>
          <w:spacing w:val="-6"/>
          <w:sz w:val="21"/>
        </w:rPr>
        <w:t xml:space="preserve">达到规定的规模标准的，应由承包人按第 </w:t>
      </w:r>
      <w:r>
        <w:rPr>
          <w:rFonts w:ascii="Times New Roman" w:eastAsia="Times New Roman"/>
          <w:color w:val="auto"/>
          <w:sz w:val="21"/>
        </w:rPr>
        <w:t>6.1</w:t>
      </w:r>
      <w:r>
        <w:rPr>
          <w:rFonts w:ascii="Times New Roman" w:eastAsia="Times New Roman"/>
          <w:color w:val="auto"/>
          <w:spacing w:val="27"/>
          <w:sz w:val="21"/>
        </w:rPr>
        <w:t xml:space="preserve"> </w:t>
      </w:r>
      <w:r>
        <w:rPr>
          <w:color w:val="auto"/>
          <w:spacing w:val="-6"/>
          <w:sz w:val="21"/>
        </w:rPr>
        <w:t>款的约定提供。经监理人确认的专业服务、材料、工程设备</w:t>
      </w:r>
      <w:r>
        <w:rPr>
          <w:color w:val="auto"/>
          <w:spacing w:val="-4"/>
          <w:sz w:val="21"/>
        </w:rPr>
        <w:t xml:space="preserve">的价格与价格清单中所列的暂估价的金额差以及相应的税金等其他费用列入合同价格。 </w:t>
      </w:r>
    </w:p>
    <w:p>
      <w:pPr>
        <w:pStyle w:val="44"/>
        <w:numPr>
          <w:ilvl w:val="2"/>
          <w:numId w:val="39"/>
        </w:numPr>
        <w:tabs>
          <w:tab w:val="left" w:pos="1270"/>
        </w:tabs>
        <w:spacing w:line="417" w:lineRule="auto"/>
        <w:ind w:right="426" w:firstLine="420"/>
        <w:jc w:val="both"/>
        <w:rPr>
          <w:color w:val="auto"/>
          <w:sz w:val="21"/>
        </w:rPr>
      </w:pPr>
      <w:r>
        <w:rPr>
          <w:color w:val="auto"/>
          <w:sz w:val="21"/>
        </w:rPr>
        <w:t>发包人在价格清单中给定暂估价的专业工程不属于依法必须招标的范围或未达到规定的规模</w:t>
      </w:r>
      <w:r>
        <w:rPr>
          <w:color w:val="auto"/>
          <w:spacing w:val="-7"/>
          <w:sz w:val="21"/>
        </w:rPr>
        <w:t xml:space="preserve">标准的，由监理人按照第 </w:t>
      </w:r>
      <w:r>
        <w:rPr>
          <w:rFonts w:ascii="Times New Roman" w:eastAsia="Times New Roman"/>
          <w:color w:val="auto"/>
          <w:sz w:val="21"/>
        </w:rPr>
        <w:t>15.3.2</w:t>
      </w:r>
      <w:r>
        <w:rPr>
          <w:rFonts w:ascii="Times New Roman" w:eastAsia="Times New Roman"/>
          <w:color w:val="auto"/>
          <w:spacing w:val="20"/>
          <w:sz w:val="21"/>
        </w:rPr>
        <w:t xml:space="preserve"> </w:t>
      </w:r>
      <w:r>
        <w:rPr>
          <w:color w:val="auto"/>
          <w:spacing w:val="-6"/>
          <w:sz w:val="21"/>
        </w:rPr>
        <w:t>项进行估价，但专用合同条款另有约定的除外。经估价的专业工程与价格</w:t>
      </w:r>
      <w:r>
        <w:rPr>
          <w:color w:val="auto"/>
          <w:spacing w:val="-4"/>
          <w:sz w:val="21"/>
        </w:rPr>
        <w:t>清单中所列的暂估价的金额差以及相应的税金等其他费用列入合同价格。</w:t>
      </w:r>
      <w:r>
        <w:rPr>
          <w:color w:val="auto"/>
          <w:sz w:val="21"/>
        </w:rPr>
        <w:t xml:space="preserve"> </w:t>
      </w:r>
    </w:p>
    <w:p>
      <w:pPr>
        <w:spacing w:before="23"/>
        <w:ind w:left="212"/>
        <w:rPr>
          <w:color w:val="auto"/>
          <w:sz w:val="21"/>
        </w:rPr>
      </w:pPr>
      <w:bookmarkStart w:id="201" w:name="15.6_暂估价（B）"/>
      <w:bookmarkEnd w:id="201"/>
      <w:r>
        <w:rPr>
          <w:rFonts w:ascii="Times New Roman" w:eastAsia="Times New Roman"/>
          <w:color w:val="auto"/>
          <w:sz w:val="32"/>
        </w:rPr>
        <w:t xml:space="preserve">15.6 </w:t>
      </w:r>
      <w:r>
        <w:rPr>
          <w:color w:val="auto"/>
          <w:sz w:val="21"/>
        </w:rPr>
        <w:t>暂估价（</w:t>
      </w:r>
      <w:r>
        <w:rPr>
          <w:rFonts w:ascii="Arial" w:eastAsia="Arial"/>
          <w:color w:val="auto"/>
          <w:sz w:val="21"/>
        </w:rPr>
        <w:t>B</w:t>
      </w:r>
      <w:r>
        <w:rPr>
          <w:color w:val="auto"/>
          <w:sz w:val="21"/>
        </w:rPr>
        <w:t>）</w:t>
      </w:r>
    </w:p>
    <w:p>
      <w:pPr>
        <w:pStyle w:val="8"/>
        <w:spacing w:before="232"/>
        <w:ind w:left="633"/>
        <w:rPr>
          <w:color w:val="auto"/>
        </w:rPr>
      </w:pPr>
      <w:r>
        <w:rPr>
          <w:color w:val="auto"/>
        </w:rPr>
        <w:t xml:space="preserve">签约合同价包括暂估价的，按合同约定进行支付。 </w:t>
      </w:r>
    </w:p>
    <w:p>
      <w:pPr>
        <w:pStyle w:val="8"/>
        <w:rPr>
          <w:color w:val="auto"/>
          <w:sz w:val="20"/>
        </w:rPr>
      </w:pPr>
    </w:p>
    <w:p>
      <w:pPr>
        <w:pStyle w:val="8"/>
        <w:spacing w:before="5"/>
        <w:rPr>
          <w:color w:val="auto"/>
          <w:sz w:val="16"/>
        </w:rPr>
      </w:pPr>
    </w:p>
    <w:p>
      <w:pPr>
        <w:pStyle w:val="37"/>
        <w:numPr>
          <w:ilvl w:val="0"/>
          <w:numId w:val="22"/>
        </w:numPr>
        <w:tabs>
          <w:tab w:val="left" w:pos="828"/>
        </w:tabs>
        <w:ind w:left="827" w:hanging="616"/>
        <w:rPr>
          <w:rFonts w:ascii="Cambria" w:eastAsia="Cambria"/>
          <w:color w:val="auto"/>
        </w:rPr>
      </w:pPr>
      <w:bookmarkStart w:id="202" w:name="16._价格调整"/>
      <w:bookmarkEnd w:id="202"/>
      <w:r>
        <w:rPr>
          <w:color w:val="auto"/>
        </w:rPr>
        <w:t>价格调整</w:t>
      </w:r>
    </w:p>
    <w:p>
      <w:pPr>
        <w:pStyle w:val="8"/>
        <w:spacing w:before="12"/>
        <w:rPr>
          <w:b/>
          <w:color w:val="auto"/>
          <w:sz w:val="34"/>
        </w:rPr>
      </w:pPr>
    </w:p>
    <w:p>
      <w:pPr>
        <w:pStyle w:val="41"/>
        <w:numPr>
          <w:ilvl w:val="1"/>
          <w:numId w:val="22"/>
        </w:numPr>
        <w:tabs>
          <w:tab w:val="left" w:pos="754"/>
        </w:tabs>
        <w:ind w:hanging="542"/>
        <w:rPr>
          <w:rFonts w:ascii="Times New Roman" w:eastAsia="Times New Roman"/>
          <w:color w:val="auto"/>
        </w:rPr>
      </w:pPr>
      <w:bookmarkStart w:id="203" w:name="16.1_物价波动引起的调整（Ａ）"/>
      <w:bookmarkEnd w:id="203"/>
      <w:r>
        <w:rPr>
          <w:color w:val="auto"/>
        </w:rPr>
        <w:t>物价波动引起的调整（Ａ）</w:t>
      </w:r>
    </w:p>
    <w:p>
      <w:pPr>
        <w:pStyle w:val="8"/>
        <w:spacing w:before="179"/>
        <w:ind w:left="633"/>
        <w:rPr>
          <w:color w:val="auto"/>
        </w:rPr>
      </w:pPr>
      <w:r>
        <w:rPr>
          <w:color w:val="auto"/>
        </w:rPr>
        <w:t xml:space="preserve">除专用合同条款另有约定外，因物价波动引起的价格调整按照本款约定处理。 </w:t>
      </w:r>
    </w:p>
    <w:p>
      <w:pPr>
        <w:pStyle w:val="8"/>
        <w:spacing w:before="6"/>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采用价格指数调整价格差额（适用于投标函附录约定了价格指数和权重的</w:t>
      </w:r>
      <w:r>
        <w:rPr>
          <w:color w:val="auto"/>
          <w:sz w:val="21"/>
        </w:rPr>
        <w:t xml:space="preserve">） </w:t>
      </w:r>
    </w:p>
    <w:p>
      <w:pPr>
        <w:pStyle w:val="8"/>
        <w:spacing w:before="7"/>
        <w:rPr>
          <w:color w:val="auto"/>
          <w:sz w:val="15"/>
        </w:rPr>
      </w:pPr>
    </w:p>
    <w:p>
      <w:pPr>
        <w:pStyle w:val="44"/>
        <w:numPr>
          <w:ilvl w:val="3"/>
          <w:numId w:val="22"/>
        </w:numPr>
        <w:tabs>
          <w:tab w:val="left" w:pos="1319"/>
        </w:tabs>
        <w:ind w:hanging="686"/>
        <w:rPr>
          <w:rFonts w:ascii="Times New Roman" w:eastAsia="Times New Roman"/>
          <w:color w:val="auto"/>
          <w:sz w:val="19"/>
        </w:rPr>
      </w:pPr>
      <w:r>
        <w:rPr>
          <w:color w:val="auto"/>
          <w:spacing w:val="-3"/>
          <w:sz w:val="21"/>
        </w:rPr>
        <w:t>价格调整公式</w:t>
      </w:r>
      <w:r>
        <w:rPr>
          <w:color w:val="auto"/>
          <w:sz w:val="21"/>
        </w:rPr>
        <w:t xml:space="preserve"> </w:t>
      </w:r>
    </w:p>
    <w:p>
      <w:pPr>
        <w:pStyle w:val="8"/>
        <w:spacing w:before="8" w:line="460" w:lineRule="atLeast"/>
        <w:ind w:left="212" w:right="323" w:firstLine="420"/>
        <w:rPr>
          <w:color w:val="auto"/>
        </w:rPr>
      </w:pPr>
      <w:r>
        <w:rPr>
          <w:color w:val="auto"/>
          <w:spacing w:val="-13"/>
        </w:rPr>
        <w:t xml:space="preserve">因人工、材料和设备等价格波动影响合同价格时，根据投标函附录中的价格指数和权重表约定的数据， </w:t>
      </w:r>
      <w:r>
        <w:rPr>
          <w:color w:val="auto"/>
          <w:spacing w:val="-6"/>
        </w:rPr>
        <w:t xml:space="preserve">按以下公式计算差额并调整合同价格。 </w:t>
      </w:r>
    </w:p>
    <w:p>
      <w:pPr>
        <w:spacing w:before="72" w:line="245" w:lineRule="exact"/>
        <w:ind w:left="2418"/>
        <w:rPr>
          <w:color w:val="auto"/>
          <w:sz w:val="21"/>
        </w:rPr>
      </w:pPr>
      <w:r>
        <w:rPr>
          <w:color w:val="auto"/>
          <w:position w:val="2"/>
          <w:sz w:val="21"/>
        </w:rPr>
        <w:t>F</w:t>
      </w:r>
      <w:r>
        <w:rPr>
          <w:color w:val="auto"/>
          <w:sz w:val="14"/>
        </w:rPr>
        <w:t>t1</w:t>
      </w:r>
      <w:r>
        <w:rPr>
          <w:color w:val="auto"/>
          <w:position w:val="2"/>
          <w:sz w:val="14"/>
        </w:rPr>
        <w:t xml:space="preserve"> </w:t>
      </w:r>
      <w:r>
        <w:rPr>
          <w:color w:val="auto"/>
          <w:position w:val="2"/>
          <w:sz w:val="21"/>
        </w:rPr>
        <w:t>F</w:t>
      </w:r>
      <w:r>
        <w:rPr>
          <w:color w:val="auto"/>
          <w:sz w:val="14"/>
        </w:rPr>
        <w:t>t2</w:t>
      </w:r>
      <w:r>
        <w:rPr>
          <w:color w:val="auto"/>
          <w:position w:val="1"/>
          <w:sz w:val="14"/>
        </w:rPr>
        <w:t xml:space="preserve"> </w:t>
      </w:r>
      <w:r>
        <w:rPr>
          <w:color w:val="auto"/>
          <w:position w:val="2"/>
          <w:sz w:val="21"/>
        </w:rPr>
        <w:t>F</w:t>
      </w:r>
      <w:r>
        <w:rPr>
          <w:color w:val="auto"/>
          <w:sz w:val="14"/>
        </w:rPr>
        <w:t>t3</w:t>
      </w:r>
      <w:r>
        <w:rPr>
          <w:color w:val="auto"/>
          <w:position w:val="1"/>
          <w:sz w:val="14"/>
        </w:rPr>
        <w:t xml:space="preserve"> </w:t>
      </w:r>
      <w:r>
        <w:rPr>
          <w:color w:val="auto"/>
          <w:position w:val="2"/>
          <w:sz w:val="21"/>
        </w:rPr>
        <w:t>F</w:t>
      </w:r>
      <w:r>
        <w:rPr>
          <w:color w:val="auto"/>
          <w:sz w:val="14"/>
        </w:rPr>
        <w:t>tn</w:t>
      </w:r>
      <w:r>
        <w:rPr>
          <w:color w:val="auto"/>
          <w:position w:val="2"/>
          <w:sz w:val="21"/>
        </w:rPr>
        <w:t xml:space="preserve"> </w:t>
      </w:r>
    </w:p>
    <w:p>
      <w:pPr>
        <w:pStyle w:val="8"/>
        <w:spacing w:line="221" w:lineRule="exact"/>
        <w:ind w:left="738"/>
        <w:rPr>
          <w:color w:val="auto"/>
        </w:rPr>
      </w:pPr>
      <w:r>
        <w:rPr>
          <w:color w:val="auto"/>
          <w:position w:val="1"/>
        </w:rPr>
        <w:t>△P=P</w:t>
      </w:r>
      <w:r>
        <w:rPr>
          <w:color w:val="auto"/>
          <w:sz w:val="11"/>
        </w:rPr>
        <w:t>O</w:t>
      </w:r>
      <w:r>
        <w:rPr>
          <w:color w:val="auto"/>
          <w:position w:val="1"/>
        </w:rPr>
        <w:t>［A+｛B</w:t>
      </w:r>
      <w:r>
        <w:rPr>
          <w:color w:val="auto"/>
          <w:sz w:val="11"/>
        </w:rPr>
        <w:t>1</w:t>
      </w:r>
      <w:r>
        <w:rPr>
          <w:color w:val="auto"/>
          <w:position w:val="1"/>
        </w:rPr>
        <w:t>×—＋B</w:t>
      </w:r>
      <w:r>
        <w:rPr>
          <w:color w:val="auto"/>
          <w:sz w:val="11"/>
        </w:rPr>
        <w:t>2</w:t>
      </w:r>
      <w:r>
        <w:rPr>
          <w:color w:val="auto"/>
          <w:position w:val="1"/>
        </w:rPr>
        <w:t>×—＋B</w:t>
      </w:r>
      <w:r>
        <w:rPr>
          <w:color w:val="auto"/>
          <w:sz w:val="11"/>
        </w:rPr>
        <w:t>3</w:t>
      </w:r>
      <w:r>
        <w:rPr>
          <w:color w:val="auto"/>
          <w:position w:val="1"/>
        </w:rPr>
        <w:t>×—＋…＋B</w:t>
      </w:r>
      <w:r>
        <w:rPr>
          <w:color w:val="auto"/>
          <w:sz w:val="11"/>
        </w:rPr>
        <w:t>n</w:t>
      </w:r>
      <w:r>
        <w:rPr>
          <w:color w:val="auto"/>
          <w:position w:val="1"/>
        </w:rPr>
        <w:t xml:space="preserve">×—｝－1］  </w:t>
      </w:r>
    </w:p>
    <w:p>
      <w:pPr>
        <w:spacing w:line="245" w:lineRule="exact"/>
        <w:ind w:left="2418"/>
        <w:rPr>
          <w:color w:val="auto"/>
          <w:sz w:val="21"/>
        </w:rPr>
      </w:pPr>
      <w:r>
        <w:rPr>
          <w:color w:val="auto"/>
          <w:position w:val="2"/>
          <w:sz w:val="21"/>
        </w:rPr>
        <w:t>F</w:t>
      </w:r>
      <w:r>
        <w:rPr>
          <w:color w:val="auto"/>
          <w:sz w:val="14"/>
        </w:rPr>
        <w:t xml:space="preserve">01 </w:t>
      </w:r>
      <w:r>
        <w:rPr>
          <w:color w:val="auto"/>
          <w:position w:val="2"/>
          <w:sz w:val="21"/>
        </w:rPr>
        <w:t>F</w:t>
      </w:r>
      <w:r>
        <w:rPr>
          <w:color w:val="auto"/>
          <w:sz w:val="14"/>
        </w:rPr>
        <w:t xml:space="preserve">02 </w:t>
      </w:r>
      <w:r>
        <w:rPr>
          <w:color w:val="auto"/>
          <w:position w:val="2"/>
          <w:sz w:val="21"/>
        </w:rPr>
        <w:t>F</w:t>
      </w:r>
      <w:r>
        <w:rPr>
          <w:color w:val="auto"/>
          <w:sz w:val="14"/>
        </w:rPr>
        <w:t>03</w:t>
      </w:r>
      <w:r>
        <w:rPr>
          <w:color w:val="auto"/>
          <w:spacing w:val="65"/>
          <w:sz w:val="14"/>
        </w:rPr>
        <w:t xml:space="preserve"> </w:t>
      </w:r>
      <w:r>
        <w:rPr>
          <w:color w:val="auto"/>
          <w:position w:val="2"/>
          <w:sz w:val="21"/>
        </w:rPr>
        <w:t>F</w:t>
      </w:r>
      <w:r>
        <w:rPr>
          <w:color w:val="auto"/>
          <w:sz w:val="14"/>
        </w:rPr>
        <w:t>04</w:t>
      </w:r>
      <w:r>
        <w:rPr>
          <w:color w:val="auto"/>
          <w:position w:val="2"/>
          <w:sz w:val="21"/>
        </w:rPr>
        <w:t xml:space="preserve"> </w:t>
      </w:r>
    </w:p>
    <w:p>
      <w:pPr>
        <w:pStyle w:val="8"/>
        <w:spacing w:before="84"/>
        <w:ind w:left="633"/>
        <w:rPr>
          <w:color w:val="auto"/>
        </w:rPr>
      </w:pPr>
      <w:r>
        <w:rPr>
          <w:color w:val="auto"/>
        </w:rPr>
        <w:t xml:space="preserve">式中：△P---需调整的价格差额； </w:t>
      </w:r>
    </w:p>
    <w:p>
      <w:pPr>
        <w:pStyle w:val="8"/>
        <w:spacing w:before="6"/>
        <w:rPr>
          <w:color w:val="auto"/>
          <w:sz w:val="15"/>
        </w:rPr>
      </w:pPr>
    </w:p>
    <w:p>
      <w:pPr>
        <w:pStyle w:val="8"/>
        <w:ind w:left="633"/>
        <w:rPr>
          <w:color w:val="auto"/>
        </w:rPr>
      </w:pPr>
      <w:r>
        <w:rPr>
          <w:color w:val="auto"/>
          <w:position w:val="1"/>
        </w:rPr>
        <w:t>P</w:t>
      </w:r>
      <w:r>
        <w:rPr>
          <w:color w:val="auto"/>
          <w:sz w:val="11"/>
        </w:rPr>
        <w:t>O</w:t>
      </w:r>
      <w:r>
        <w:rPr>
          <w:color w:val="auto"/>
          <w:position w:val="1"/>
        </w:rPr>
        <w:t xml:space="preserve">---第 </w:t>
      </w:r>
      <w:r>
        <w:rPr>
          <w:rFonts w:ascii="Times New Roman" w:eastAsia="Times New Roman"/>
          <w:color w:val="auto"/>
          <w:position w:val="1"/>
        </w:rPr>
        <w:t xml:space="preserve">17.3.4 </w:t>
      </w:r>
      <w:r>
        <w:rPr>
          <w:color w:val="auto"/>
          <w:position w:val="1"/>
        </w:rPr>
        <w:t xml:space="preserve">项、第 </w:t>
      </w:r>
      <w:r>
        <w:rPr>
          <w:rFonts w:ascii="Times New Roman" w:eastAsia="Times New Roman"/>
          <w:color w:val="auto"/>
          <w:position w:val="1"/>
        </w:rPr>
        <w:t xml:space="preserve">17.5.2 </w:t>
      </w:r>
      <w:r>
        <w:rPr>
          <w:color w:val="auto"/>
          <w:position w:val="1"/>
        </w:rPr>
        <w:t xml:space="preserve">项和第 </w:t>
      </w:r>
      <w:r>
        <w:rPr>
          <w:rFonts w:ascii="Times New Roman" w:eastAsia="Times New Roman"/>
          <w:color w:val="auto"/>
          <w:position w:val="1"/>
        </w:rPr>
        <w:t xml:space="preserve">17.6.2 </w:t>
      </w:r>
      <w:r>
        <w:rPr>
          <w:color w:val="auto"/>
          <w:position w:val="1"/>
        </w:rPr>
        <w:t>项约定的付款证书中承包人应得到的已完成工作量的金额。</w:t>
      </w:r>
    </w:p>
    <w:p>
      <w:pPr>
        <w:pStyle w:val="8"/>
        <w:spacing w:line="470" w:lineRule="atLeast"/>
        <w:ind w:left="212" w:right="426"/>
        <w:rPr>
          <w:color w:val="auto"/>
        </w:rPr>
      </w:pPr>
      <w:r>
        <w:rPr>
          <w:color w:val="auto"/>
        </w:rPr>
        <w:t xml:space="preserve">此项金额应不包括价格调整、不计质量保证金的扣留和支付、预付款的支付和扣回。第 </w:t>
      </w:r>
      <w:r>
        <w:rPr>
          <w:rFonts w:ascii="Times New Roman" w:eastAsia="Times New Roman"/>
          <w:color w:val="auto"/>
        </w:rPr>
        <w:t xml:space="preserve">15 </w:t>
      </w:r>
      <w:r>
        <w:rPr>
          <w:color w:val="auto"/>
        </w:rPr>
        <w:t xml:space="preserve">条约定的变更及其他金额已按当期价格计价的，也不计在内； </w:t>
      </w:r>
    </w:p>
    <w:p>
      <w:pPr>
        <w:pStyle w:val="8"/>
        <w:tabs>
          <w:tab w:val="left" w:leader="hyphen" w:pos="1158"/>
        </w:tabs>
        <w:spacing w:before="119"/>
        <w:ind w:left="633"/>
        <w:rPr>
          <w:color w:val="auto"/>
        </w:rPr>
      </w:pPr>
      <w:r>
        <w:rPr>
          <w:color w:val="auto"/>
        </w:rPr>
        <w:t>A</w:t>
      </w:r>
      <w:r>
        <w:rPr>
          <w:color w:val="auto"/>
        </w:rPr>
        <w:tab/>
      </w:r>
      <w:r>
        <w:rPr>
          <w:color w:val="auto"/>
          <w:spacing w:val="-3"/>
        </w:rPr>
        <w:t>定值权重</w:t>
      </w:r>
      <w:r>
        <w:rPr>
          <w:color w:val="auto"/>
        </w:rPr>
        <w:t>（</w:t>
      </w:r>
      <w:r>
        <w:rPr>
          <w:color w:val="auto"/>
          <w:spacing w:val="-3"/>
        </w:rPr>
        <w:t>即不调部分的权重</w:t>
      </w:r>
      <w:r>
        <w:rPr>
          <w:color w:val="auto"/>
        </w:rPr>
        <w:t>）；</w:t>
      </w:r>
    </w:p>
    <w:p>
      <w:pPr>
        <w:pStyle w:val="8"/>
        <w:spacing w:before="4"/>
        <w:rPr>
          <w:color w:val="auto"/>
          <w:sz w:val="17"/>
        </w:rPr>
      </w:pPr>
    </w:p>
    <w:p>
      <w:pPr>
        <w:pStyle w:val="8"/>
        <w:tabs>
          <w:tab w:val="left" w:leader="hyphen" w:pos="2701"/>
        </w:tabs>
        <w:ind w:left="633"/>
        <w:rPr>
          <w:color w:val="auto"/>
        </w:rPr>
      </w:pPr>
      <w:r>
        <w:rPr>
          <w:color w:val="auto"/>
          <w:position w:val="2"/>
        </w:rPr>
        <w:t>B</w:t>
      </w:r>
      <w:r>
        <w:rPr>
          <w:color w:val="auto"/>
          <w:sz w:val="14"/>
        </w:rPr>
        <w:t>1</w:t>
      </w:r>
      <w:r>
        <w:rPr>
          <w:color w:val="auto"/>
          <w:position w:val="2"/>
        </w:rPr>
        <w:t>；B</w:t>
      </w:r>
      <w:r>
        <w:rPr>
          <w:color w:val="auto"/>
          <w:sz w:val="14"/>
        </w:rPr>
        <w:t>2</w:t>
      </w:r>
      <w:r>
        <w:rPr>
          <w:color w:val="auto"/>
          <w:position w:val="2"/>
        </w:rPr>
        <w:t>；B</w:t>
      </w:r>
      <w:r>
        <w:rPr>
          <w:color w:val="auto"/>
          <w:sz w:val="14"/>
        </w:rPr>
        <w:t>3</w:t>
      </w:r>
      <w:r>
        <w:rPr>
          <w:color w:val="auto"/>
          <w:position w:val="2"/>
        </w:rPr>
        <w:t>；……B</w:t>
      </w:r>
      <w:r>
        <w:rPr>
          <w:color w:val="auto"/>
          <w:sz w:val="14"/>
        </w:rPr>
        <w:t>n</w:t>
      </w:r>
      <w:r>
        <w:rPr>
          <w:color w:val="auto"/>
          <w:sz w:val="14"/>
        </w:rPr>
        <w:tab/>
      </w:r>
      <w:r>
        <w:rPr>
          <w:color w:val="auto"/>
          <w:spacing w:val="-3"/>
          <w:position w:val="2"/>
        </w:rPr>
        <w:t>各可调因子的变值权重</w:t>
      </w:r>
      <w:r>
        <w:rPr>
          <w:color w:val="auto"/>
          <w:position w:val="2"/>
        </w:rPr>
        <w:t>（</w:t>
      </w:r>
      <w:r>
        <w:rPr>
          <w:color w:val="auto"/>
          <w:spacing w:val="-3"/>
          <w:position w:val="2"/>
        </w:rPr>
        <w:t>即可调部分的权重</w:t>
      </w:r>
      <w:r>
        <w:rPr>
          <w:color w:val="auto"/>
          <w:position w:val="2"/>
        </w:rPr>
        <w:t>）</w:t>
      </w:r>
      <w:r>
        <w:rPr>
          <w:color w:val="auto"/>
          <w:spacing w:val="-3"/>
          <w:position w:val="2"/>
        </w:rPr>
        <w:t>为各可调因子在投标函投标总报</w:t>
      </w:r>
    </w:p>
    <w:p>
      <w:pPr>
        <w:rPr>
          <w:color w:val="auto"/>
        </w:rPr>
        <w:sectPr>
          <w:pgSz w:w="11910" w:h="16840"/>
          <w:pgMar w:top="1560" w:right="700" w:bottom="1180" w:left="920" w:header="0" w:footer="995" w:gutter="0"/>
          <w:cols w:space="720" w:num="1"/>
        </w:sectPr>
      </w:pPr>
    </w:p>
    <w:p>
      <w:pPr>
        <w:pStyle w:val="8"/>
        <w:spacing w:before="48"/>
        <w:ind w:left="212"/>
        <w:rPr>
          <w:color w:val="auto"/>
        </w:rPr>
      </w:pPr>
      <w:r>
        <w:rPr>
          <w:color w:val="auto"/>
        </w:rPr>
        <w:t xml:space="preserve">价中所占的比例； </w:t>
      </w:r>
    </w:p>
    <w:p>
      <w:pPr>
        <w:pStyle w:val="8"/>
        <w:spacing w:before="5"/>
        <w:rPr>
          <w:color w:val="auto"/>
          <w:sz w:val="17"/>
        </w:rPr>
      </w:pPr>
    </w:p>
    <w:p>
      <w:pPr>
        <w:pStyle w:val="8"/>
        <w:ind w:left="633"/>
        <w:rPr>
          <w:color w:val="auto"/>
        </w:rPr>
      </w:pPr>
      <w:r>
        <w:rPr>
          <w:color w:val="auto"/>
          <w:position w:val="2"/>
        </w:rPr>
        <w:t>F</w:t>
      </w:r>
      <w:r>
        <w:rPr>
          <w:color w:val="auto"/>
          <w:sz w:val="14"/>
        </w:rPr>
        <w:t>t1</w:t>
      </w:r>
      <w:r>
        <w:rPr>
          <w:color w:val="auto"/>
          <w:position w:val="2"/>
        </w:rPr>
        <w:t>；F</w:t>
      </w:r>
      <w:r>
        <w:rPr>
          <w:color w:val="auto"/>
          <w:sz w:val="14"/>
        </w:rPr>
        <w:t>t2</w:t>
      </w:r>
      <w:r>
        <w:rPr>
          <w:color w:val="auto"/>
          <w:position w:val="2"/>
        </w:rPr>
        <w:t>；F</w:t>
      </w:r>
      <w:r>
        <w:rPr>
          <w:color w:val="auto"/>
          <w:sz w:val="14"/>
        </w:rPr>
        <w:t>t3</w:t>
      </w:r>
      <w:r>
        <w:rPr>
          <w:color w:val="auto"/>
          <w:position w:val="2"/>
        </w:rPr>
        <w:t>；……F</w:t>
      </w:r>
      <w:r>
        <w:rPr>
          <w:color w:val="auto"/>
          <w:sz w:val="14"/>
        </w:rPr>
        <w:t>tn</w:t>
      </w:r>
      <w:r>
        <w:rPr>
          <w:color w:val="auto"/>
          <w:position w:val="2"/>
        </w:rPr>
        <w:t xml:space="preserve">---各可调因子的当期价格指数，指第 </w:t>
      </w:r>
      <w:r>
        <w:rPr>
          <w:rFonts w:ascii="Times New Roman" w:hAnsi="Times New Roman" w:eastAsia="Times New Roman"/>
          <w:color w:val="auto"/>
          <w:position w:val="2"/>
        </w:rPr>
        <w:t xml:space="preserve">17.3.3 </w:t>
      </w:r>
      <w:r>
        <w:rPr>
          <w:color w:val="auto"/>
          <w:position w:val="2"/>
        </w:rPr>
        <w:t xml:space="preserve">项、第 </w:t>
      </w:r>
      <w:r>
        <w:rPr>
          <w:rFonts w:ascii="Times New Roman" w:hAnsi="Times New Roman" w:eastAsia="Times New Roman"/>
          <w:color w:val="auto"/>
          <w:position w:val="2"/>
        </w:rPr>
        <w:t xml:space="preserve">17.5.2 </w:t>
      </w:r>
      <w:r>
        <w:rPr>
          <w:color w:val="auto"/>
          <w:position w:val="2"/>
        </w:rPr>
        <w:t xml:space="preserve">项和第 </w:t>
      </w:r>
      <w:r>
        <w:rPr>
          <w:rFonts w:ascii="Times New Roman" w:hAnsi="Times New Roman" w:eastAsia="Times New Roman"/>
          <w:color w:val="auto"/>
          <w:position w:val="2"/>
        </w:rPr>
        <w:t xml:space="preserve">17.6.2 </w:t>
      </w:r>
      <w:r>
        <w:rPr>
          <w:color w:val="auto"/>
          <w:position w:val="2"/>
        </w:rPr>
        <w:t>项约</w:t>
      </w:r>
    </w:p>
    <w:p>
      <w:pPr>
        <w:pStyle w:val="8"/>
        <w:spacing w:before="175"/>
        <w:ind w:left="212"/>
        <w:rPr>
          <w:color w:val="auto"/>
        </w:rPr>
      </w:pPr>
      <w:r>
        <w:rPr>
          <w:color w:val="auto"/>
        </w:rPr>
        <w:t xml:space="preserve">定的付款证书相关周期最后一天的前 42 天的各可调因子的价格指数； </w:t>
      </w:r>
    </w:p>
    <w:p>
      <w:pPr>
        <w:pStyle w:val="8"/>
        <w:spacing w:before="4"/>
        <w:rPr>
          <w:color w:val="auto"/>
          <w:sz w:val="17"/>
        </w:rPr>
      </w:pPr>
    </w:p>
    <w:p>
      <w:pPr>
        <w:pStyle w:val="8"/>
        <w:spacing w:before="1"/>
        <w:ind w:left="633"/>
        <w:rPr>
          <w:color w:val="auto"/>
        </w:rPr>
      </w:pPr>
      <w:r>
        <w:rPr>
          <w:color w:val="auto"/>
          <w:position w:val="2"/>
        </w:rPr>
        <w:t>F</w:t>
      </w:r>
      <w:r>
        <w:rPr>
          <w:color w:val="auto"/>
          <w:sz w:val="14"/>
        </w:rPr>
        <w:t>01</w:t>
      </w:r>
      <w:r>
        <w:rPr>
          <w:color w:val="auto"/>
          <w:position w:val="2"/>
        </w:rPr>
        <w:t>；F</w:t>
      </w:r>
      <w:r>
        <w:rPr>
          <w:color w:val="auto"/>
          <w:sz w:val="14"/>
        </w:rPr>
        <w:t>02</w:t>
      </w:r>
      <w:r>
        <w:rPr>
          <w:color w:val="auto"/>
          <w:position w:val="2"/>
        </w:rPr>
        <w:t>；F</w:t>
      </w:r>
      <w:r>
        <w:rPr>
          <w:color w:val="auto"/>
          <w:sz w:val="14"/>
        </w:rPr>
        <w:t>03</w:t>
      </w:r>
      <w:r>
        <w:rPr>
          <w:color w:val="auto"/>
          <w:position w:val="2"/>
        </w:rPr>
        <w:t>；……F</w:t>
      </w:r>
      <w:r>
        <w:rPr>
          <w:color w:val="auto"/>
          <w:sz w:val="14"/>
        </w:rPr>
        <w:t>0n</w:t>
      </w:r>
      <w:r>
        <w:rPr>
          <w:rFonts w:ascii="Times New Roman" w:hAnsi="Times New Roman" w:eastAsia="Times New Roman"/>
          <w:color w:val="auto"/>
          <w:position w:val="2"/>
        </w:rPr>
        <w:t>---</w:t>
      </w:r>
      <w:r>
        <w:rPr>
          <w:color w:val="auto"/>
          <w:position w:val="2"/>
        </w:rPr>
        <w:t>各可调因子的基本价格指数，指基准日期的各可调因子的价格指数。</w:t>
      </w:r>
    </w:p>
    <w:p>
      <w:pPr>
        <w:pStyle w:val="8"/>
        <w:spacing w:before="8"/>
        <w:rPr>
          <w:color w:val="auto"/>
          <w:sz w:val="19"/>
        </w:rPr>
      </w:pPr>
    </w:p>
    <w:p>
      <w:pPr>
        <w:pStyle w:val="8"/>
        <w:spacing w:line="417" w:lineRule="auto"/>
        <w:ind w:left="212" w:right="426" w:firstLine="420"/>
        <w:jc w:val="both"/>
        <w:rPr>
          <w:color w:val="auto"/>
        </w:rPr>
      </w:pPr>
      <w:r>
        <w:rPr>
          <w:color w:val="auto"/>
          <w:spacing w:val="-5"/>
        </w:rPr>
        <w:t>以上价格调整公式中的各可调因子、定值和变值权重，以及基本价格指数及其来源在投标函附录价格</w:t>
      </w:r>
      <w:r>
        <w:rPr>
          <w:color w:val="auto"/>
          <w:spacing w:val="-6"/>
        </w:rPr>
        <w:t>指数和权重表中约定。价格指数应首先采用投标函附录中载明的有关部门提供的价格指数，缺乏上述价格</w:t>
      </w:r>
      <w:r>
        <w:rPr>
          <w:color w:val="auto"/>
          <w:spacing w:val="-4"/>
        </w:rPr>
        <w:t>指数时，可采用有关部门提供的价格代替。</w:t>
      </w:r>
      <w:r>
        <w:rPr>
          <w:color w:val="auto"/>
        </w:rPr>
        <w:t xml:space="preserve"> </w:t>
      </w:r>
    </w:p>
    <w:p>
      <w:pPr>
        <w:pStyle w:val="44"/>
        <w:numPr>
          <w:ilvl w:val="3"/>
          <w:numId w:val="22"/>
        </w:numPr>
        <w:tabs>
          <w:tab w:val="left" w:pos="1319"/>
        </w:tabs>
        <w:spacing w:line="269" w:lineRule="exact"/>
        <w:ind w:hanging="686"/>
        <w:rPr>
          <w:rFonts w:ascii="Times New Roman" w:eastAsia="Times New Roman"/>
          <w:color w:val="auto"/>
          <w:sz w:val="19"/>
        </w:rPr>
      </w:pPr>
      <w:r>
        <w:rPr>
          <w:color w:val="auto"/>
          <w:spacing w:val="-3"/>
          <w:sz w:val="21"/>
        </w:rPr>
        <w:t xml:space="preserve">暂时确定调整差额 </w:t>
      </w:r>
    </w:p>
    <w:p>
      <w:pPr>
        <w:pStyle w:val="8"/>
        <w:spacing w:before="8"/>
        <w:rPr>
          <w:color w:val="auto"/>
          <w:sz w:val="15"/>
        </w:rPr>
      </w:pPr>
    </w:p>
    <w:p>
      <w:pPr>
        <w:pStyle w:val="8"/>
        <w:spacing w:line="417" w:lineRule="auto"/>
        <w:ind w:left="212" w:right="426" w:firstLine="420"/>
        <w:rPr>
          <w:color w:val="auto"/>
        </w:rPr>
      </w:pPr>
      <w:r>
        <w:rPr>
          <w:color w:val="auto"/>
          <w:spacing w:val="-5"/>
        </w:rPr>
        <w:t>在计算调整差额时得不到当期价格指数的，可暂用上一次价格指数计算，并在以后的付款中再按实际</w:t>
      </w:r>
      <w:r>
        <w:rPr>
          <w:color w:val="auto"/>
          <w:spacing w:val="-4"/>
        </w:rPr>
        <w:t>价格指数进行调整。</w:t>
      </w:r>
      <w:r>
        <w:rPr>
          <w:color w:val="auto"/>
        </w:rPr>
        <w:t xml:space="preserve"> </w:t>
      </w:r>
    </w:p>
    <w:p>
      <w:pPr>
        <w:pStyle w:val="44"/>
        <w:numPr>
          <w:ilvl w:val="3"/>
          <w:numId w:val="22"/>
        </w:numPr>
        <w:tabs>
          <w:tab w:val="left" w:pos="1319"/>
        </w:tabs>
        <w:spacing w:line="269" w:lineRule="exact"/>
        <w:ind w:hanging="686"/>
        <w:rPr>
          <w:color w:val="auto"/>
          <w:sz w:val="19"/>
        </w:rPr>
      </w:pPr>
      <w:r>
        <w:rPr>
          <w:color w:val="auto"/>
          <w:spacing w:val="-3"/>
          <w:sz w:val="21"/>
        </w:rPr>
        <w:t>权重的调整</w:t>
      </w:r>
      <w:r>
        <w:rPr>
          <w:color w:val="auto"/>
          <w:sz w:val="21"/>
        </w:rPr>
        <w:t xml:space="preserve"> </w:t>
      </w:r>
    </w:p>
    <w:p>
      <w:pPr>
        <w:pStyle w:val="8"/>
        <w:spacing w:before="122" w:line="278" w:lineRule="auto"/>
        <w:ind w:left="212" w:right="382" w:firstLine="420"/>
        <w:rPr>
          <w:color w:val="auto"/>
        </w:rPr>
      </w:pPr>
      <w:r>
        <w:rPr>
          <w:color w:val="auto"/>
        </w:rPr>
        <w:t xml:space="preserve">按第 15.1 款约定的变更导致原定合同中的权重不合理的，由监理人与承包人和发包人协商后进行调整。 </w:t>
      </w:r>
    </w:p>
    <w:p>
      <w:pPr>
        <w:pStyle w:val="44"/>
        <w:numPr>
          <w:ilvl w:val="3"/>
          <w:numId w:val="22"/>
        </w:numPr>
        <w:tabs>
          <w:tab w:val="left" w:pos="1319"/>
        </w:tabs>
        <w:spacing w:before="76"/>
        <w:ind w:hanging="686"/>
        <w:rPr>
          <w:rFonts w:ascii="Times New Roman" w:eastAsia="Times New Roman"/>
          <w:color w:val="auto"/>
          <w:sz w:val="19"/>
        </w:rPr>
      </w:pPr>
      <w:r>
        <w:rPr>
          <w:color w:val="auto"/>
          <w:spacing w:val="-3"/>
          <w:sz w:val="21"/>
        </w:rPr>
        <w:t>承包人引起的工期延误后的价格调整</w:t>
      </w:r>
      <w:r>
        <w:rPr>
          <w:color w:val="auto"/>
          <w:sz w:val="21"/>
        </w:rPr>
        <w:t xml:space="preserve"> </w:t>
      </w:r>
    </w:p>
    <w:p>
      <w:pPr>
        <w:pStyle w:val="8"/>
        <w:spacing w:before="7"/>
        <w:rPr>
          <w:color w:val="auto"/>
          <w:sz w:val="15"/>
        </w:rPr>
      </w:pPr>
    </w:p>
    <w:p>
      <w:pPr>
        <w:pStyle w:val="8"/>
        <w:ind w:left="633"/>
        <w:rPr>
          <w:rFonts w:ascii="Times New Roman" w:eastAsia="Times New Roman"/>
          <w:color w:val="auto"/>
        </w:rPr>
      </w:pPr>
      <w:r>
        <w:rPr>
          <w:color w:val="auto"/>
        </w:rPr>
        <w:t xml:space="preserve">由于承包人原因未在约定的工期内竣工的，则对原约定竣工日期后继续施工的工程，在使用第 </w:t>
      </w:r>
      <w:r>
        <w:rPr>
          <w:rFonts w:ascii="Times New Roman" w:eastAsia="Times New Roman"/>
          <w:color w:val="auto"/>
        </w:rPr>
        <w:t>16.1.1.</w:t>
      </w:r>
    </w:p>
    <w:p>
      <w:pPr>
        <w:pStyle w:val="8"/>
        <w:spacing w:before="3"/>
        <w:rPr>
          <w:rFonts w:ascii="Times New Roman"/>
          <w:color w:val="auto"/>
          <w:sz w:val="17"/>
        </w:rPr>
      </w:pPr>
    </w:p>
    <w:p>
      <w:pPr>
        <w:pStyle w:val="8"/>
        <w:spacing w:before="1" w:line="417" w:lineRule="auto"/>
        <w:ind w:left="212" w:right="426"/>
        <w:rPr>
          <w:color w:val="auto"/>
        </w:rPr>
      </w:pPr>
      <w:r>
        <w:rPr>
          <w:rFonts w:ascii="Times New Roman" w:eastAsia="Times New Roman"/>
          <w:color w:val="auto"/>
        </w:rPr>
        <w:t xml:space="preserve">1 </w:t>
      </w:r>
      <w:r>
        <w:rPr>
          <w:color w:val="auto"/>
        </w:rPr>
        <w:t xml:space="preserve">目价格调整公式时，应采用原约定竣工日期与实际竣工日期的两个价格指数中较低的一个作为当期价格指数。 </w:t>
      </w:r>
    </w:p>
    <w:p>
      <w:pPr>
        <w:pStyle w:val="44"/>
        <w:numPr>
          <w:ilvl w:val="3"/>
          <w:numId w:val="22"/>
        </w:numPr>
        <w:tabs>
          <w:tab w:val="left" w:pos="1319"/>
        </w:tabs>
        <w:ind w:hanging="686"/>
        <w:rPr>
          <w:rFonts w:ascii="Times New Roman" w:eastAsia="Times New Roman"/>
          <w:color w:val="auto"/>
          <w:sz w:val="19"/>
        </w:rPr>
      </w:pPr>
      <w:r>
        <w:rPr>
          <w:color w:val="auto"/>
          <w:spacing w:val="-3"/>
          <w:sz w:val="21"/>
        </w:rPr>
        <w:t>发包人引起的工期延误后的价格调整</w:t>
      </w:r>
      <w:r>
        <w:rPr>
          <w:color w:val="auto"/>
          <w:sz w:val="21"/>
        </w:rPr>
        <w:t xml:space="preserve"> </w:t>
      </w:r>
    </w:p>
    <w:p>
      <w:pPr>
        <w:pStyle w:val="8"/>
        <w:spacing w:before="6"/>
        <w:rPr>
          <w:color w:val="auto"/>
          <w:sz w:val="15"/>
        </w:rPr>
      </w:pPr>
    </w:p>
    <w:p>
      <w:pPr>
        <w:pStyle w:val="8"/>
        <w:spacing w:line="417" w:lineRule="auto"/>
        <w:ind w:left="212" w:right="426" w:firstLine="420"/>
        <w:jc w:val="both"/>
        <w:rPr>
          <w:color w:val="auto"/>
        </w:rPr>
      </w:pPr>
      <w:r>
        <w:rPr>
          <w:color w:val="auto"/>
          <w:spacing w:val="-10"/>
        </w:rPr>
        <w:t xml:space="preserve">由于发包人原因未在约定的工期内竣工的，则对原约定竣工日期后继续施工的工程，在使用第 </w:t>
      </w:r>
      <w:r>
        <w:rPr>
          <w:rFonts w:ascii="Times New Roman" w:eastAsia="Times New Roman"/>
          <w:color w:val="auto"/>
        </w:rPr>
        <w:t xml:space="preserve">16.1.1.1 </w:t>
      </w:r>
      <w:r>
        <w:rPr>
          <w:color w:val="auto"/>
          <w:spacing w:val="-6"/>
        </w:rPr>
        <w:t xml:space="preserve">目价格调整公式时，应采用原约定竣工日期与实际竣工日期的两个价格指数中较高的一个作为当期价格指数。 </w:t>
      </w:r>
    </w:p>
    <w:p>
      <w:pPr>
        <w:pStyle w:val="8"/>
        <w:spacing w:line="269" w:lineRule="exact"/>
        <w:ind w:left="633"/>
        <w:rPr>
          <w:color w:val="auto"/>
        </w:rPr>
      </w:pPr>
      <w:r>
        <w:rPr>
          <w:rFonts w:ascii="Times New Roman" w:eastAsia="Times New Roman"/>
          <w:color w:val="auto"/>
        </w:rPr>
        <w:t>16.1.1</w:t>
      </w:r>
      <w:r>
        <w:rPr>
          <w:rFonts w:ascii="Times New Roman" w:eastAsia="Times New Roman"/>
          <w:color w:val="auto"/>
          <w:spacing w:val="52"/>
        </w:rPr>
        <w:t xml:space="preserve"> </w:t>
      </w:r>
      <w:r>
        <w:rPr>
          <w:color w:val="auto"/>
          <w:spacing w:val="-3"/>
        </w:rPr>
        <w:t>采用造价信息调整价格差额（适用于投标函附录没有约定价格指数和权重的</w:t>
      </w:r>
      <w:r>
        <w:rPr>
          <w:color w:val="auto"/>
        </w:rPr>
        <w:t xml:space="preserve">） </w:t>
      </w:r>
    </w:p>
    <w:p>
      <w:pPr>
        <w:pStyle w:val="8"/>
        <w:spacing w:before="7"/>
        <w:rPr>
          <w:color w:val="auto"/>
          <w:sz w:val="15"/>
        </w:rPr>
      </w:pPr>
    </w:p>
    <w:p>
      <w:pPr>
        <w:pStyle w:val="8"/>
        <w:spacing w:line="417" w:lineRule="auto"/>
        <w:ind w:left="212" w:right="426" w:firstLine="420"/>
        <w:jc w:val="both"/>
        <w:rPr>
          <w:color w:val="auto"/>
        </w:rPr>
      </w:pPr>
      <w:r>
        <w:rPr>
          <w:color w:val="auto"/>
          <w:spacing w:val="-5"/>
        </w:rPr>
        <w:t>合同工期内，因人工、材料、设备和机械台班价格波动影响合同价格时，人工、机械使用费按照国家</w:t>
      </w:r>
      <w:r>
        <w:rPr>
          <w:color w:val="auto"/>
          <w:spacing w:val="-7"/>
        </w:rPr>
        <w:t>或省、自治区、直辖市建设行政管理部门、行业建设管理部门或其授权的工程造价管理机构发布的人工成</w:t>
      </w:r>
      <w:r>
        <w:rPr>
          <w:color w:val="auto"/>
          <w:spacing w:val="-8"/>
        </w:rPr>
        <w:t>本信息、机械台班单价或机械使用费系数进行调整；需要进行价格调整的材料，其单价和采购数应由监理</w:t>
      </w:r>
      <w:r>
        <w:rPr>
          <w:color w:val="auto"/>
          <w:spacing w:val="-5"/>
        </w:rPr>
        <w:t>人复核，监理人确认需调整的材料单价及数量，作为调整合同价格差额的依据。</w:t>
      </w:r>
      <w:r>
        <w:rPr>
          <w:color w:val="auto"/>
        </w:rPr>
        <w:t xml:space="preserve"> </w:t>
      </w:r>
    </w:p>
    <w:p>
      <w:pPr>
        <w:pStyle w:val="41"/>
        <w:numPr>
          <w:ilvl w:val="1"/>
          <w:numId w:val="40"/>
        </w:numPr>
        <w:tabs>
          <w:tab w:val="left" w:pos="754"/>
        </w:tabs>
        <w:spacing w:line="287" w:lineRule="exact"/>
        <w:ind w:hanging="542"/>
        <w:rPr>
          <w:color w:val="auto"/>
        </w:rPr>
      </w:pPr>
      <w:bookmarkStart w:id="204" w:name="16.1_物价波动引起的调整（B）"/>
      <w:bookmarkEnd w:id="204"/>
      <w:r>
        <w:rPr>
          <w:color w:val="auto"/>
        </w:rPr>
        <w:t>物价波动引起的调整（</w:t>
      </w:r>
      <w:r>
        <w:rPr>
          <w:rFonts w:ascii="Times New Roman" w:eastAsia="Times New Roman"/>
          <w:color w:val="auto"/>
        </w:rPr>
        <w:t>B</w:t>
      </w:r>
      <w:r>
        <w:rPr>
          <w:color w:val="auto"/>
        </w:rPr>
        <w:t>）</w:t>
      </w:r>
    </w:p>
    <w:p>
      <w:pPr>
        <w:pStyle w:val="8"/>
        <w:spacing w:before="181"/>
        <w:ind w:left="633"/>
        <w:rPr>
          <w:color w:val="auto"/>
        </w:rPr>
      </w:pPr>
      <w:r>
        <w:rPr>
          <w:color w:val="auto"/>
        </w:rPr>
        <w:t xml:space="preserve">除法律规定或专用合同条款另有约定外，合同价格不因物价波动进行调整。 </w:t>
      </w:r>
    </w:p>
    <w:p>
      <w:pPr>
        <w:pStyle w:val="41"/>
        <w:numPr>
          <w:ilvl w:val="1"/>
          <w:numId w:val="40"/>
        </w:numPr>
        <w:tabs>
          <w:tab w:val="left" w:pos="754"/>
        </w:tabs>
        <w:spacing w:before="179"/>
        <w:ind w:hanging="542"/>
        <w:rPr>
          <w:color w:val="auto"/>
        </w:rPr>
      </w:pPr>
      <w:r>
        <w:rPr>
          <w:color w:val="auto"/>
        </w:rPr>
        <w:t>法律变化引起的调整</w:t>
      </w:r>
    </w:p>
    <w:p>
      <w:pPr>
        <w:pStyle w:val="8"/>
        <w:spacing w:before="180"/>
        <w:ind w:left="633"/>
        <w:rPr>
          <w:color w:val="auto"/>
        </w:rPr>
      </w:pPr>
      <w:r>
        <w:rPr>
          <w:color w:val="auto"/>
        </w:rPr>
        <w:t>在基准日后，因法律变化导致承包人在合同履行中所需费用发生除第 16.1 款约定以外的增减时，监</w:t>
      </w:r>
    </w:p>
    <w:p>
      <w:pPr>
        <w:rPr>
          <w:color w:val="auto"/>
        </w:rPr>
        <w:sectPr>
          <w:pgSz w:w="11910" w:h="16840"/>
          <w:pgMar w:top="1480" w:right="700" w:bottom="1180" w:left="920" w:header="0" w:footer="995" w:gutter="0"/>
          <w:cols w:space="720" w:num="1"/>
        </w:sectPr>
      </w:pPr>
    </w:p>
    <w:p>
      <w:pPr>
        <w:pStyle w:val="8"/>
        <w:spacing w:before="45"/>
        <w:ind w:left="212"/>
        <w:rPr>
          <w:color w:val="auto"/>
        </w:rPr>
      </w:pPr>
      <w:r>
        <w:rPr>
          <w:color w:val="auto"/>
        </w:rPr>
        <w:t xml:space="preserve">理人应根据法律、国家或省、自治区、直辖市有关部门的规定，按第 3.5 款商定或确定需调整的合同价格。 </w:t>
      </w:r>
    </w:p>
    <w:p>
      <w:pPr>
        <w:pStyle w:val="8"/>
        <w:rPr>
          <w:color w:val="auto"/>
          <w:sz w:val="20"/>
        </w:rPr>
      </w:pPr>
    </w:p>
    <w:p>
      <w:pPr>
        <w:pStyle w:val="8"/>
        <w:spacing w:before="5"/>
        <w:rPr>
          <w:color w:val="auto"/>
          <w:sz w:val="16"/>
        </w:rPr>
      </w:pPr>
    </w:p>
    <w:p>
      <w:pPr>
        <w:pStyle w:val="37"/>
        <w:numPr>
          <w:ilvl w:val="0"/>
          <w:numId w:val="22"/>
        </w:numPr>
        <w:tabs>
          <w:tab w:val="left" w:pos="828"/>
        </w:tabs>
        <w:ind w:left="827" w:hanging="616"/>
        <w:rPr>
          <w:rFonts w:ascii="Cambria" w:eastAsia="Cambria"/>
          <w:color w:val="auto"/>
        </w:rPr>
      </w:pPr>
      <w:bookmarkStart w:id="205" w:name="17._合同价格与支付"/>
      <w:bookmarkEnd w:id="205"/>
      <w:r>
        <w:rPr>
          <w:color w:val="auto"/>
        </w:rPr>
        <w:t>合同价格与支付</w:t>
      </w:r>
    </w:p>
    <w:p>
      <w:pPr>
        <w:pStyle w:val="8"/>
        <w:spacing w:before="12"/>
        <w:rPr>
          <w:b/>
          <w:color w:val="auto"/>
          <w:sz w:val="34"/>
        </w:rPr>
      </w:pPr>
    </w:p>
    <w:p>
      <w:pPr>
        <w:pStyle w:val="41"/>
        <w:numPr>
          <w:ilvl w:val="1"/>
          <w:numId w:val="22"/>
        </w:numPr>
        <w:tabs>
          <w:tab w:val="left" w:pos="754"/>
        </w:tabs>
        <w:ind w:hanging="542"/>
        <w:rPr>
          <w:rFonts w:ascii="Times New Roman" w:eastAsia="Times New Roman"/>
          <w:color w:val="auto"/>
        </w:rPr>
      </w:pPr>
      <w:bookmarkStart w:id="206" w:name="17.1_合同价格"/>
      <w:bookmarkEnd w:id="206"/>
      <w:r>
        <w:rPr>
          <w:color w:val="auto"/>
        </w:rPr>
        <w:t>合同价格</w:t>
      </w:r>
    </w:p>
    <w:p>
      <w:pPr>
        <w:pStyle w:val="8"/>
        <w:spacing w:before="181"/>
        <w:ind w:left="633"/>
        <w:rPr>
          <w:color w:val="auto"/>
        </w:rPr>
      </w:pPr>
      <w:r>
        <w:rPr>
          <w:color w:val="auto"/>
        </w:rPr>
        <w:t xml:space="preserve">除专用合同条款另有约定外， </w:t>
      </w:r>
    </w:p>
    <w:p>
      <w:pPr>
        <w:pStyle w:val="8"/>
        <w:spacing w:before="6"/>
        <w:rPr>
          <w:color w:val="auto"/>
          <w:sz w:val="15"/>
        </w:rPr>
      </w:pPr>
    </w:p>
    <w:p>
      <w:pPr>
        <w:pStyle w:val="44"/>
        <w:numPr>
          <w:ilvl w:val="0"/>
          <w:numId w:val="41"/>
        </w:numPr>
        <w:tabs>
          <w:tab w:val="left" w:pos="1163"/>
        </w:tabs>
        <w:ind w:hanging="530"/>
        <w:rPr>
          <w:color w:val="auto"/>
          <w:sz w:val="21"/>
        </w:rPr>
      </w:pPr>
      <w:r>
        <w:rPr>
          <w:color w:val="auto"/>
          <w:spacing w:val="-3"/>
          <w:sz w:val="21"/>
        </w:rPr>
        <w:t>合同价格包括签约合同价以及按照合同约定进行的调整；</w:t>
      </w:r>
    </w:p>
    <w:p>
      <w:pPr>
        <w:pStyle w:val="8"/>
        <w:spacing w:before="7"/>
        <w:rPr>
          <w:color w:val="auto"/>
          <w:sz w:val="15"/>
        </w:rPr>
      </w:pPr>
    </w:p>
    <w:p>
      <w:pPr>
        <w:pStyle w:val="44"/>
        <w:numPr>
          <w:ilvl w:val="0"/>
          <w:numId w:val="41"/>
        </w:numPr>
        <w:tabs>
          <w:tab w:val="left" w:pos="1163"/>
        </w:tabs>
        <w:ind w:hanging="530"/>
        <w:rPr>
          <w:color w:val="auto"/>
          <w:sz w:val="21"/>
        </w:rPr>
      </w:pPr>
      <w:r>
        <w:rPr>
          <w:color w:val="auto"/>
          <w:spacing w:val="-3"/>
          <w:sz w:val="21"/>
        </w:rPr>
        <w:t>合同价格包括承包人依据法律规定或合同约定应支付的规费和税金；</w:t>
      </w:r>
    </w:p>
    <w:p>
      <w:pPr>
        <w:pStyle w:val="8"/>
        <w:spacing w:before="7"/>
        <w:rPr>
          <w:color w:val="auto"/>
          <w:sz w:val="15"/>
        </w:rPr>
      </w:pPr>
    </w:p>
    <w:p>
      <w:pPr>
        <w:pStyle w:val="44"/>
        <w:numPr>
          <w:ilvl w:val="0"/>
          <w:numId w:val="41"/>
        </w:numPr>
        <w:tabs>
          <w:tab w:val="left" w:pos="1165"/>
        </w:tabs>
        <w:spacing w:line="417" w:lineRule="auto"/>
        <w:ind w:left="212" w:right="426" w:firstLine="420"/>
        <w:jc w:val="both"/>
        <w:rPr>
          <w:color w:val="auto"/>
          <w:sz w:val="21"/>
        </w:rPr>
      </w:pPr>
      <w:r>
        <w:rPr>
          <w:color w:val="auto"/>
          <w:sz w:val="21"/>
        </w:rPr>
        <w:t>价格清单列出的任何数量仅为估算的工作量，不得将其视为要求承包人实施的工程的实际或准</w:t>
      </w:r>
      <w:r>
        <w:rPr>
          <w:color w:val="auto"/>
          <w:spacing w:val="-5"/>
          <w:sz w:val="21"/>
        </w:rPr>
        <w:t>确的工作量。在价格清单中列出的任何工作量和价格数据应仅限用于变更和支付的参考资料，而不能用于</w:t>
      </w:r>
      <w:r>
        <w:rPr>
          <w:color w:val="auto"/>
          <w:spacing w:val="-4"/>
          <w:sz w:val="21"/>
        </w:rPr>
        <w:t>其他目的。</w:t>
      </w:r>
      <w:r>
        <w:rPr>
          <w:color w:val="auto"/>
          <w:sz w:val="21"/>
        </w:rPr>
        <w:t xml:space="preserve"> </w:t>
      </w:r>
    </w:p>
    <w:p>
      <w:pPr>
        <w:pStyle w:val="8"/>
        <w:spacing w:line="417" w:lineRule="auto"/>
        <w:ind w:left="212" w:right="402" w:firstLine="420"/>
        <w:rPr>
          <w:color w:val="auto"/>
        </w:rPr>
      </w:pPr>
      <w:r>
        <w:rPr>
          <w:color w:val="auto"/>
        </w:rPr>
        <w:t xml:space="preserve">合同约定工程的某部分按照实际完成的工程量进行支付的，应按照专用合同条款的约定进行计量和估价，并据此调整合同价格。 </w:t>
      </w:r>
    </w:p>
    <w:p>
      <w:pPr>
        <w:pStyle w:val="41"/>
        <w:numPr>
          <w:ilvl w:val="1"/>
          <w:numId w:val="22"/>
        </w:numPr>
        <w:tabs>
          <w:tab w:val="left" w:pos="754"/>
        </w:tabs>
        <w:spacing w:line="287" w:lineRule="exact"/>
        <w:ind w:hanging="542"/>
        <w:rPr>
          <w:rFonts w:ascii="Times New Roman" w:eastAsia="Times New Roman"/>
          <w:color w:val="auto"/>
        </w:rPr>
      </w:pPr>
      <w:bookmarkStart w:id="207" w:name="17.2_预付款"/>
      <w:bookmarkEnd w:id="207"/>
      <w:r>
        <w:rPr>
          <w:color w:val="auto"/>
        </w:rPr>
        <w:t>预付款</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预付款</w:t>
      </w:r>
      <w:r>
        <w:rPr>
          <w:color w:val="auto"/>
          <w:sz w:val="21"/>
        </w:rPr>
        <w:t xml:space="preserve"> </w:t>
      </w:r>
    </w:p>
    <w:p>
      <w:pPr>
        <w:pStyle w:val="8"/>
        <w:spacing w:before="6"/>
        <w:rPr>
          <w:color w:val="auto"/>
          <w:sz w:val="15"/>
        </w:rPr>
      </w:pPr>
    </w:p>
    <w:p>
      <w:pPr>
        <w:pStyle w:val="8"/>
        <w:spacing w:before="1" w:line="417" w:lineRule="auto"/>
        <w:ind w:left="212" w:right="426" w:firstLine="420"/>
        <w:rPr>
          <w:color w:val="auto"/>
        </w:rPr>
      </w:pPr>
      <w:r>
        <w:rPr>
          <w:color w:val="auto"/>
          <w:spacing w:val="-6"/>
        </w:rPr>
        <w:t>预付款用于承包人为合同工程的设计和工程实施购置材料、工程设备、施工设备、修建临时设施以及</w:t>
      </w:r>
      <w:r>
        <w:rPr>
          <w:color w:val="auto"/>
          <w:spacing w:val="-4"/>
        </w:rPr>
        <w:t xml:space="preserve">组织施工队伍进场等。预付款的额度和支付在专用合同条款中约定。预付款必须专用于合同工作。 </w:t>
      </w:r>
    </w:p>
    <w:p>
      <w:pPr>
        <w:pStyle w:val="44"/>
        <w:numPr>
          <w:ilvl w:val="2"/>
          <w:numId w:val="22"/>
        </w:numPr>
        <w:tabs>
          <w:tab w:val="left" w:pos="1163"/>
        </w:tabs>
        <w:spacing w:line="267" w:lineRule="exact"/>
        <w:ind w:left="1162" w:hanging="530"/>
        <w:rPr>
          <w:rFonts w:ascii="Times New Roman" w:eastAsia="Times New Roman"/>
          <w:color w:val="auto"/>
          <w:sz w:val="19"/>
        </w:rPr>
      </w:pPr>
      <w:r>
        <w:rPr>
          <w:color w:val="auto"/>
          <w:spacing w:val="-3"/>
          <w:sz w:val="21"/>
        </w:rPr>
        <w:t>预付款保函</w:t>
      </w:r>
      <w:r>
        <w:rPr>
          <w:color w:val="auto"/>
          <w:sz w:val="21"/>
        </w:rPr>
        <w:t xml:space="preserve"> </w:t>
      </w:r>
    </w:p>
    <w:p>
      <w:pPr>
        <w:pStyle w:val="8"/>
        <w:spacing w:before="6"/>
        <w:rPr>
          <w:color w:val="auto"/>
          <w:sz w:val="15"/>
        </w:rPr>
      </w:pPr>
    </w:p>
    <w:p>
      <w:pPr>
        <w:pStyle w:val="8"/>
        <w:spacing w:line="417" w:lineRule="auto"/>
        <w:ind w:left="212" w:right="426" w:firstLine="420"/>
        <w:rPr>
          <w:color w:val="auto"/>
        </w:rPr>
      </w:pPr>
      <w:r>
        <w:rPr>
          <w:color w:val="auto"/>
          <w:spacing w:val="-5"/>
        </w:rPr>
        <w:t>除专用合同条款另有约定外，承包人应在收到预付款的同时向发包人提交预付款保函，预付款保函的</w:t>
      </w:r>
      <w:r>
        <w:rPr>
          <w:color w:val="auto"/>
          <w:spacing w:val="-4"/>
        </w:rPr>
        <w:t>担保金额应与预付款金额相同。保函的担保金额可根据预付款扣回的金额相应递减。</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 xml:space="preserve">预付款的扣回与还清 </w:t>
      </w:r>
    </w:p>
    <w:p>
      <w:pPr>
        <w:pStyle w:val="8"/>
        <w:spacing w:before="7"/>
        <w:rPr>
          <w:color w:val="auto"/>
          <w:sz w:val="15"/>
        </w:rPr>
      </w:pPr>
    </w:p>
    <w:p>
      <w:pPr>
        <w:pStyle w:val="8"/>
        <w:spacing w:line="417" w:lineRule="auto"/>
        <w:ind w:left="212" w:right="426" w:firstLine="420"/>
        <w:rPr>
          <w:color w:val="auto"/>
        </w:rPr>
      </w:pPr>
      <w:r>
        <w:rPr>
          <w:color w:val="auto"/>
          <w:spacing w:val="-6"/>
        </w:rPr>
        <w:t>预付款在进度付款中扣回，扣回办法在专用合同条款中约定。在颁发工程接收证书前，由于不可抗力</w:t>
      </w:r>
      <w:r>
        <w:rPr>
          <w:color w:val="auto"/>
          <w:spacing w:val="-4"/>
        </w:rPr>
        <w:t xml:space="preserve">或其他原因解除合同时，预付款尚未扣清的，尚未扣清的预付款余额应作为承包人的到期应付款。 </w:t>
      </w:r>
    </w:p>
    <w:p>
      <w:pPr>
        <w:pStyle w:val="41"/>
        <w:numPr>
          <w:ilvl w:val="1"/>
          <w:numId w:val="22"/>
        </w:numPr>
        <w:tabs>
          <w:tab w:val="left" w:pos="754"/>
        </w:tabs>
        <w:spacing w:line="287" w:lineRule="exact"/>
        <w:ind w:hanging="542"/>
        <w:rPr>
          <w:rFonts w:ascii="Times New Roman" w:eastAsia="Times New Roman"/>
          <w:color w:val="auto"/>
        </w:rPr>
      </w:pPr>
      <w:r>
        <w:rPr>
          <w:color w:val="auto"/>
        </w:rPr>
        <w:t>工程进度付款</w:t>
      </w:r>
    </w:p>
    <w:p>
      <w:pPr>
        <w:pStyle w:val="44"/>
        <w:numPr>
          <w:ilvl w:val="2"/>
          <w:numId w:val="22"/>
        </w:numPr>
        <w:tabs>
          <w:tab w:val="left" w:pos="1163"/>
        </w:tabs>
        <w:spacing w:before="182"/>
        <w:ind w:left="1162" w:hanging="530"/>
        <w:rPr>
          <w:rFonts w:ascii="Times New Roman" w:eastAsia="Times New Roman"/>
          <w:color w:val="auto"/>
          <w:sz w:val="19"/>
        </w:rPr>
      </w:pPr>
      <w:r>
        <w:rPr>
          <w:color w:val="auto"/>
          <w:spacing w:val="-3"/>
          <w:sz w:val="21"/>
        </w:rPr>
        <w:t>付款时间</w:t>
      </w:r>
      <w:r>
        <w:rPr>
          <w:color w:val="auto"/>
          <w:sz w:val="21"/>
        </w:rPr>
        <w:t xml:space="preserve"> </w:t>
      </w:r>
    </w:p>
    <w:p>
      <w:pPr>
        <w:pStyle w:val="8"/>
        <w:spacing w:before="6"/>
        <w:rPr>
          <w:color w:val="auto"/>
          <w:sz w:val="15"/>
        </w:rPr>
      </w:pPr>
    </w:p>
    <w:p>
      <w:pPr>
        <w:pStyle w:val="8"/>
        <w:ind w:left="633"/>
        <w:rPr>
          <w:color w:val="auto"/>
        </w:rPr>
      </w:pPr>
      <w:r>
        <w:rPr>
          <w:color w:val="auto"/>
        </w:rPr>
        <w:t xml:space="preserve">除专用合同条款另有约定外，工程进度付款按月支付。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支付分解表</w:t>
      </w:r>
      <w:r>
        <w:rPr>
          <w:color w:val="auto"/>
          <w:sz w:val="21"/>
        </w:rPr>
        <w:t xml:space="preserve"> </w:t>
      </w:r>
    </w:p>
    <w:p>
      <w:pPr>
        <w:pStyle w:val="8"/>
        <w:spacing w:before="7"/>
        <w:rPr>
          <w:color w:val="auto"/>
          <w:sz w:val="15"/>
        </w:rPr>
      </w:pPr>
    </w:p>
    <w:p>
      <w:pPr>
        <w:pStyle w:val="8"/>
        <w:spacing w:line="417" w:lineRule="auto"/>
        <w:ind w:left="212" w:right="426" w:firstLine="420"/>
        <w:jc w:val="both"/>
        <w:rPr>
          <w:color w:val="auto"/>
        </w:rPr>
      </w:pPr>
      <w:r>
        <w:rPr>
          <w:color w:val="auto"/>
          <w:spacing w:val="-6"/>
        </w:rPr>
        <w:t>除专用合同条款另有约定外，承包人应根据价格清单的价格构成、费用性质、计划发生时间和相应工</w:t>
      </w:r>
      <w:r>
        <w:rPr>
          <w:color w:val="auto"/>
          <w:spacing w:val="-8"/>
        </w:rPr>
        <w:t xml:space="preserve">作量等因素，按照以下分类和分解原则，结合第 </w:t>
      </w:r>
      <w:r>
        <w:rPr>
          <w:rFonts w:ascii="Times New Roman" w:eastAsia="Times New Roman"/>
          <w:color w:val="auto"/>
        </w:rPr>
        <w:t xml:space="preserve">4.12.1 </w:t>
      </w:r>
      <w:r>
        <w:rPr>
          <w:color w:val="auto"/>
          <w:spacing w:val="-4"/>
        </w:rPr>
        <w:t xml:space="preserve">项约定的合同进度计划，汇总形成月度支付分解报告。 </w:t>
      </w:r>
    </w:p>
    <w:p>
      <w:pPr>
        <w:spacing w:line="417" w:lineRule="auto"/>
        <w:jc w:val="both"/>
        <w:rPr>
          <w:color w:val="auto"/>
        </w:rPr>
        <w:sectPr>
          <w:pgSz w:w="11910" w:h="16840"/>
          <w:pgMar w:top="1560" w:right="700" w:bottom="1180" w:left="920" w:header="0" w:footer="995" w:gutter="0"/>
          <w:cols w:space="720" w:num="1"/>
        </w:sectPr>
      </w:pPr>
    </w:p>
    <w:p>
      <w:pPr>
        <w:pStyle w:val="44"/>
        <w:numPr>
          <w:ilvl w:val="0"/>
          <w:numId w:val="42"/>
        </w:numPr>
        <w:tabs>
          <w:tab w:val="left" w:pos="1163"/>
        </w:tabs>
        <w:spacing w:before="65"/>
        <w:ind w:hanging="530"/>
        <w:rPr>
          <w:color w:val="auto"/>
          <w:sz w:val="21"/>
        </w:rPr>
      </w:pPr>
      <w:r>
        <w:rPr>
          <w:color w:val="auto"/>
          <w:spacing w:val="-3"/>
          <w:sz w:val="21"/>
        </w:rPr>
        <w:t>勘察设计费。按照提供勘察设计阶段性成果文件的时间、对应的工作量进行分解。</w:t>
      </w:r>
    </w:p>
    <w:p>
      <w:pPr>
        <w:pStyle w:val="8"/>
        <w:spacing w:before="7"/>
        <w:rPr>
          <w:color w:val="auto"/>
          <w:sz w:val="15"/>
        </w:rPr>
      </w:pPr>
    </w:p>
    <w:p>
      <w:pPr>
        <w:pStyle w:val="44"/>
        <w:numPr>
          <w:ilvl w:val="0"/>
          <w:numId w:val="42"/>
        </w:numPr>
        <w:tabs>
          <w:tab w:val="left" w:pos="1165"/>
        </w:tabs>
        <w:spacing w:line="417" w:lineRule="auto"/>
        <w:ind w:left="212" w:right="436" w:firstLine="420"/>
        <w:rPr>
          <w:color w:val="auto"/>
          <w:sz w:val="21"/>
        </w:rPr>
      </w:pPr>
      <w:r>
        <w:rPr>
          <w:color w:val="auto"/>
          <w:spacing w:val="-1"/>
          <w:sz w:val="21"/>
        </w:rPr>
        <w:t>材料和工程设备费。分别按订立采购合同、进场验收合格、安装就位、工程竣工等阶段和专用</w:t>
      </w:r>
      <w:r>
        <w:rPr>
          <w:color w:val="auto"/>
          <w:spacing w:val="-3"/>
          <w:sz w:val="21"/>
        </w:rPr>
        <w:t>条款约定的比例进行分解。</w:t>
      </w:r>
    </w:p>
    <w:p>
      <w:pPr>
        <w:pStyle w:val="44"/>
        <w:numPr>
          <w:ilvl w:val="0"/>
          <w:numId w:val="42"/>
        </w:numPr>
        <w:tabs>
          <w:tab w:val="left" w:pos="1163"/>
        </w:tabs>
        <w:spacing w:line="417" w:lineRule="auto"/>
        <w:ind w:left="212" w:right="428" w:firstLine="420"/>
        <w:rPr>
          <w:color w:val="auto"/>
          <w:sz w:val="21"/>
        </w:rPr>
      </w:pPr>
      <w:r>
        <w:rPr>
          <w:color w:val="auto"/>
          <w:spacing w:val="-3"/>
          <w:sz w:val="21"/>
        </w:rPr>
        <w:t xml:space="preserve">技术服务培训费。按照价格清单中的单价，结合第 </w:t>
      </w:r>
      <w:r>
        <w:rPr>
          <w:rFonts w:ascii="Times New Roman" w:eastAsia="Times New Roman"/>
          <w:color w:val="auto"/>
          <w:sz w:val="21"/>
        </w:rPr>
        <w:t>4.12.1</w:t>
      </w:r>
      <w:r>
        <w:rPr>
          <w:rFonts w:ascii="Times New Roman" w:eastAsia="Times New Roman"/>
          <w:color w:val="auto"/>
          <w:spacing w:val="9"/>
          <w:sz w:val="21"/>
        </w:rPr>
        <w:t xml:space="preserve"> </w:t>
      </w:r>
      <w:r>
        <w:rPr>
          <w:color w:val="auto"/>
          <w:spacing w:val="-3"/>
          <w:sz w:val="21"/>
        </w:rPr>
        <w:t>项约定的合同进度计划对应的工作量进行分解。</w:t>
      </w:r>
    </w:p>
    <w:p>
      <w:pPr>
        <w:pStyle w:val="44"/>
        <w:numPr>
          <w:ilvl w:val="0"/>
          <w:numId w:val="42"/>
        </w:numPr>
        <w:tabs>
          <w:tab w:val="left" w:pos="1163"/>
        </w:tabs>
        <w:spacing w:line="269" w:lineRule="exact"/>
        <w:ind w:hanging="530"/>
        <w:rPr>
          <w:color w:val="auto"/>
          <w:sz w:val="21"/>
        </w:rPr>
      </w:pPr>
      <w:r>
        <w:rPr>
          <w:color w:val="auto"/>
          <w:spacing w:val="-6"/>
          <w:sz w:val="21"/>
        </w:rPr>
        <w:t xml:space="preserve">其他工程价款。除第 </w:t>
      </w:r>
      <w:r>
        <w:rPr>
          <w:rFonts w:ascii="Times New Roman" w:eastAsia="Times New Roman"/>
          <w:color w:val="auto"/>
          <w:sz w:val="21"/>
        </w:rPr>
        <w:t>17.1</w:t>
      </w:r>
      <w:r>
        <w:rPr>
          <w:rFonts w:ascii="Times New Roman" w:eastAsia="Times New Roman"/>
          <w:color w:val="auto"/>
          <w:spacing w:val="20"/>
          <w:sz w:val="21"/>
        </w:rPr>
        <w:t xml:space="preserve"> </w:t>
      </w:r>
      <w:r>
        <w:rPr>
          <w:color w:val="auto"/>
          <w:spacing w:val="-3"/>
          <w:sz w:val="21"/>
        </w:rPr>
        <w:t>款约定按已完成工程量计量支付的工程价款外，按照价格清单中的价</w:t>
      </w:r>
    </w:p>
    <w:p>
      <w:pPr>
        <w:pStyle w:val="8"/>
        <w:spacing w:before="6"/>
        <w:rPr>
          <w:color w:val="auto"/>
          <w:sz w:val="15"/>
        </w:rPr>
      </w:pPr>
    </w:p>
    <w:p>
      <w:pPr>
        <w:pStyle w:val="8"/>
        <w:ind w:left="212"/>
        <w:jc w:val="both"/>
        <w:rPr>
          <w:color w:val="auto"/>
        </w:rPr>
      </w:pPr>
      <w:r>
        <w:rPr>
          <w:color w:val="auto"/>
        </w:rPr>
        <w:t xml:space="preserve">格，结合第 </w:t>
      </w:r>
      <w:r>
        <w:rPr>
          <w:rFonts w:ascii="Times New Roman" w:eastAsia="Times New Roman"/>
          <w:color w:val="auto"/>
        </w:rPr>
        <w:t xml:space="preserve">4.12.1 </w:t>
      </w:r>
      <w:r>
        <w:rPr>
          <w:color w:val="auto"/>
        </w:rPr>
        <w:t xml:space="preserve">项约定的合同进度计划拟完成的工程量或者比例进行分解。 </w:t>
      </w:r>
    </w:p>
    <w:p>
      <w:pPr>
        <w:pStyle w:val="8"/>
        <w:spacing w:before="7"/>
        <w:rPr>
          <w:color w:val="auto"/>
          <w:sz w:val="15"/>
        </w:rPr>
      </w:pPr>
    </w:p>
    <w:p>
      <w:pPr>
        <w:pStyle w:val="8"/>
        <w:ind w:left="633"/>
        <w:jc w:val="both"/>
        <w:rPr>
          <w:color w:val="auto"/>
        </w:rPr>
      </w:pPr>
      <w:r>
        <w:rPr>
          <w:color w:val="auto"/>
        </w:rPr>
        <w:t>承包人应当在收到经监理人批复的合同进度计划后 7 天内，将支付分解报告以及形成支付分解报告的</w:t>
      </w:r>
    </w:p>
    <w:p>
      <w:pPr>
        <w:pStyle w:val="8"/>
        <w:spacing w:before="7"/>
        <w:rPr>
          <w:color w:val="auto"/>
          <w:sz w:val="15"/>
        </w:rPr>
      </w:pPr>
    </w:p>
    <w:p>
      <w:pPr>
        <w:pStyle w:val="8"/>
        <w:spacing w:before="1" w:line="417" w:lineRule="auto"/>
        <w:ind w:left="212" w:right="426"/>
        <w:jc w:val="both"/>
        <w:rPr>
          <w:color w:val="auto"/>
        </w:rPr>
      </w:pPr>
      <w:r>
        <w:rPr>
          <w:color w:val="auto"/>
          <w:spacing w:val="-6"/>
        </w:rPr>
        <w:t xml:space="preserve">支持性资料报监理人审批，监理人应当在收到承包人报送的支付分解报告后 </w:t>
      </w:r>
      <w:r>
        <w:rPr>
          <w:color w:val="auto"/>
        </w:rPr>
        <w:t>7</w:t>
      </w:r>
      <w:r>
        <w:rPr>
          <w:color w:val="auto"/>
          <w:spacing w:val="-7"/>
        </w:rPr>
        <w:t xml:space="preserve"> 天内给予批复或提出修改意见，经监理人批准的支付分解报告为有合同约束力的支付分解表。合同进度计划进行了修订的，应相应修</w:t>
      </w:r>
      <w:r>
        <w:rPr>
          <w:color w:val="auto"/>
          <w:spacing w:val="-5"/>
        </w:rPr>
        <w:t>改支付分解表，并按本目规定报监理人批复。</w:t>
      </w:r>
      <w:r>
        <w:rPr>
          <w:color w:val="auto"/>
        </w:rPr>
        <w:t xml:space="preserve"> </w:t>
      </w:r>
    </w:p>
    <w:p>
      <w:pPr>
        <w:pStyle w:val="44"/>
        <w:numPr>
          <w:ilvl w:val="2"/>
          <w:numId w:val="22"/>
        </w:numPr>
        <w:tabs>
          <w:tab w:val="left" w:pos="1265"/>
        </w:tabs>
        <w:spacing w:line="269" w:lineRule="exact"/>
        <w:ind w:left="1264" w:hanging="632"/>
        <w:jc w:val="both"/>
        <w:rPr>
          <w:rFonts w:ascii="Times New Roman" w:eastAsia="Times New Roman"/>
          <w:color w:val="auto"/>
          <w:sz w:val="21"/>
        </w:rPr>
      </w:pPr>
      <w:r>
        <w:rPr>
          <w:color w:val="auto"/>
          <w:spacing w:val="-3"/>
          <w:sz w:val="21"/>
        </w:rPr>
        <w:t>进度付款申请单</w:t>
      </w:r>
      <w:r>
        <w:rPr>
          <w:color w:val="auto"/>
          <w:sz w:val="21"/>
        </w:rPr>
        <w:t xml:space="preserve"> </w:t>
      </w:r>
    </w:p>
    <w:p>
      <w:pPr>
        <w:pStyle w:val="8"/>
        <w:spacing w:before="6"/>
        <w:rPr>
          <w:color w:val="auto"/>
          <w:sz w:val="15"/>
        </w:rPr>
      </w:pPr>
    </w:p>
    <w:p>
      <w:pPr>
        <w:pStyle w:val="8"/>
        <w:spacing w:line="417" w:lineRule="auto"/>
        <w:ind w:left="212" w:right="426" w:firstLine="420"/>
        <w:rPr>
          <w:color w:val="auto"/>
        </w:rPr>
      </w:pPr>
      <w:r>
        <w:rPr>
          <w:color w:val="auto"/>
          <w:spacing w:val="-5"/>
        </w:rPr>
        <w:t>承包人应在每笔进度款支付前，按监理人批准的格式和专用合同条款约定的份数，向监理人提交进度</w:t>
      </w:r>
      <w:r>
        <w:rPr>
          <w:color w:val="auto"/>
          <w:spacing w:val="-4"/>
        </w:rPr>
        <w:t xml:space="preserve">付款申请单，并附相应的支持性证明文件。除合同另有约定外，进度付款申请单应包括下列内容： </w:t>
      </w:r>
    </w:p>
    <w:p>
      <w:pPr>
        <w:pStyle w:val="44"/>
        <w:numPr>
          <w:ilvl w:val="0"/>
          <w:numId w:val="43"/>
        </w:numPr>
        <w:tabs>
          <w:tab w:val="left" w:pos="1163"/>
        </w:tabs>
        <w:spacing w:line="269" w:lineRule="exact"/>
        <w:ind w:hanging="530"/>
        <w:rPr>
          <w:color w:val="auto"/>
          <w:sz w:val="21"/>
        </w:rPr>
      </w:pPr>
      <w:r>
        <w:rPr>
          <w:color w:val="auto"/>
          <w:spacing w:val="-3"/>
          <w:sz w:val="21"/>
        </w:rPr>
        <w:t>当期应支付金额总额，以及截至当期期末累计应支付金额总额、已支付的进度付款金额总额；</w:t>
      </w:r>
    </w:p>
    <w:p>
      <w:pPr>
        <w:pStyle w:val="8"/>
        <w:spacing w:before="7"/>
        <w:rPr>
          <w:color w:val="auto"/>
          <w:sz w:val="15"/>
        </w:rPr>
      </w:pPr>
    </w:p>
    <w:p>
      <w:pPr>
        <w:pStyle w:val="44"/>
        <w:numPr>
          <w:ilvl w:val="0"/>
          <w:numId w:val="43"/>
        </w:numPr>
        <w:tabs>
          <w:tab w:val="left" w:pos="1163"/>
        </w:tabs>
        <w:ind w:hanging="530"/>
        <w:rPr>
          <w:color w:val="auto"/>
          <w:sz w:val="21"/>
        </w:rPr>
      </w:pPr>
      <w:r>
        <w:rPr>
          <w:color w:val="auto"/>
          <w:spacing w:val="-3"/>
          <w:sz w:val="21"/>
        </w:rPr>
        <w:t>当期根据支付分解表应支付金额，以及截至当期期末累计应支付金额；</w:t>
      </w:r>
    </w:p>
    <w:p>
      <w:pPr>
        <w:pStyle w:val="8"/>
        <w:spacing w:before="7"/>
        <w:rPr>
          <w:color w:val="auto"/>
          <w:sz w:val="15"/>
        </w:rPr>
      </w:pPr>
    </w:p>
    <w:p>
      <w:pPr>
        <w:pStyle w:val="44"/>
        <w:numPr>
          <w:ilvl w:val="0"/>
          <w:numId w:val="43"/>
        </w:numPr>
        <w:tabs>
          <w:tab w:val="left" w:pos="1163"/>
        </w:tabs>
        <w:ind w:hanging="530"/>
        <w:jc w:val="both"/>
        <w:rPr>
          <w:color w:val="auto"/>
          <w:sz w:val="21"/>
        </w:rPr>
      </w:pPr>
      <w:r>
        <w:rPr>
          <w:color w:val="auto"/>
          <w:spacing w:val="-11"/>
          <w:sz w:val="21"/>
        </w:rPr>
        <w:t xml:space="preserve">当期根据第 </w:t>
      </w:r>
      <w:r>
        <w:rPr>
          <w:rFonts w:ascii="Times New Roman" w:eastAsia="Times New Roman"/>
          <w:color w:val="auto"/>
          <w:sz w:val="21"/>
        </w:rPr>
        <w:t>17.1</w:t>
      </w:r>
      <w:r>
        <w:rPr>
          <w:rFonts w:ascii="Times New Roman" w:eastAsia="Times New Roman"/>
          <w:color w:val="auto"/>
          <w:spacing w:val="3"/>
          <w:sz w:val="21"/>
        </w:rPr>
        <w:t xml:space="preserve"> </w:t>
      </w:r>
      <w:r>
        <w:rPr>
          <w:color w:val="auto"/>
          <w:spacing w:val="-3"/>
          <w:sz w:val="21"/>
        </w:rPr>
        <w:t>款约定计量的已实施工程应支付金额，以及截至当期期末累计应支付金额；</w:t>
      </w:r>
    </w:p>
    <w:p>
      <w:pPr>
        <w:pStyle w:val="8"/>
        <w:spacing w:before="7"/>
        <w:rPr>
          <w:color w:val="auto"/>
          <w:sz w:val="15"/>
        </w:rPr>
      </w:pPr>
    </w:p>
    <w:p>
      <w:pPr>
        <w:pStyle w:val="44"/>
        <w:numPr>
          <w:ilvl w:val="0"/>
          <w:numId w:val="43"/>
        </w:numPr>
        <w:tabs>
          <w:tab w:val="left" w:pos="1163"/>
        </w:tabs>
        <w:ind w:hanging="530"/>
        <w:jc w:val="both"/>
        <w:rPr>
          <w:color w:val="auto"/>
          <w:sz w:val="21"/>
        </w:rPr>
      </w:pPr>
      <w:r>
        <w:rPr>
          <w:color w:val="auto"/>
          <w:spacing w:val="-12"/>
          <w:sz w:val="21"/>
        </w:rPr>
        <w:t xml:space="preserve">当期根据第 </w:t>
      </w:r>
      <w:r>
        <w:rPr>
          <w:rFonts w:ascii="Times New Roman" w:eastAsia="Times New Roman"/>
          <w:color w:val="auto"/>
          <w:sz w:val="21"/>
        </w:rPr>
        <w:t>15</w:t>
      </w:r>
      <w:r>
        <w:rPr>
          <w:rFonts w:ascii="Times New Roman" w:eastAsia="Times New Roman"/>
          <w:color w:val="auto"/>
          <w:spacing w:val="-2"/>
          <w:sz w:val="21"/>
        </w:rPr>
        <w:t xml:space="preserve"> </w:t>
      </w:r>
      <w:r>
        <w:rPr>
          <w:color w:val="auto"/>
          <w:spacing w:val="-3"/>
          <w:sz w:val="21"/>
        </w:rPr>
        <w:t>条应增加和扣减的变更金额，以及截至当期期末累计变更金额；</w:t>
      </w:r>
    </w:p>
    <w:p>
      <w:pPr>
        <w:pStyle w:val="8"/>
        <w:spacing w:before="7"/>
        <w:rPr>
          <w:color w:val="auto"/>
          <w:sz w:val="15"/>
        </w:rPr>
      </w:pPr>
    </w:p>
    <w:p>
      <w:pPr>
        <w:pStyle w:val="44"/>
        <w:numPr>
          <w:ilvl w:val="0"/>
          <w:numId w:val="43"/>
        </w:numPr>
        <w:tabs>
          <w:tab w:val="left" w:pos="1163"/>
        </w:tabs>
        <w:ind w:hanging="530"/>
        <w:rPr>
          <w:color w:val="auto"/>
          <w:sz w:val="21"/>
        </w:rPr>
      </w:pPr>
      <w:r>
        <w:rPr>
          <w:color w:val="auto"/>
          <w:spacing w:val="-12"/>
          <w:sz w:val="21"/>
        </w:rPr>
        <w:t xml:space="preserve">当期根据第 </w:t>
      </w:r>
      <w:r>
        <w:rPr>
          <w:rFonts w:ascii="Times New Roman" w:eastAsia="Times New Roman"/>
          <w:color w:val="auto"/>
          <w:sz w:val="21"/>
        </w:rPr>
        <w:t xml:space="preserve">23 </w:t>
      </w:r>
      <w:r>
        <w:rPr>
          <w:color w:val="auto"/>
          <w:spacing w:val="-3"/>
          <w:sz w:val="21"/>
        </w:rPr>
        <w:t>条应增加和扣减的索赔金额，以及截至当期期末累计索赔金额；</w:t>
      </w:r>
    </w:p>
    <w:p>
      <w:pPr>
        <w:pStyle w:val="8"/>
        <w:spacing w:before="6"/>
        <w:rPr>
          <w:color w:val="auto"/>
          <w:sz w:val="15"/>
        </w:rPr>
      </w:pPr>
    </w:p>
    <w:p>
      <w:pPr>
        <w:pStyle w:val="44"/>
        <w:numPr>
          <w:ilvl w:val="0"/>
          <w:numId w:val="43"/>
        </w:numPr>
        <w:tabs>
          <w:tab w:val="left" w:pos="1163"/>
        </w:tabs>
        <w:spacing w:line="417" w:lineRule="auto"/>
        <w:ind w:left="212" w:right="426" w:firstLine="420"/>
        <w:rPr>
          <w:color w:val="auto"/>
          <w:sz w:val="21"/>
        </w:rPr>
      </w:pPr>
      <w:r>
        <w:rPr>
          <w:color w:val="auto"/>
          <w:spacing w:val="-10"/>
          <w:sz w:val="21"/>
        </w:rPr>
        <w:t xml:space="preserve">当期根据第 </w:t>
      </w:r>
      <w:r>
        <w:rPr>
          <w:rFonts w:ascii="Times New Roman" w:eastAsia="Times New Roman"/>
          <w:color w:val="auto"/>
          <w:sz w:val="21"/>
        </w:rPr>
        <w:t>17.2</w:t>
      </w:r>
      <w:r>
        <w:rPr>
          <w:rFonts w:ascii="Times New Roman" w:eastAsia="Times New Roman"/>
          <w:color w:val="auto"/>
          <w:spacing w:val="29"/>
          <w:sz w:val="21"/>
        </w:rPr>
        <w:t xml:space="preserve"> </w:t>
      </w:r>
      <w:r>
        <w:rPr>
          <w:color w:val="auto"/>
          <w:spacing w:val="-4"/>
          <w:sz w:val="21"/>
        </w:rPr>
        <w:t>款约定应支付的预付款和扣减的返还预付款金额，以及截至当期期末累计返还</w:t>
      </w:r>
      <w:r>
        <w:rPr>
          <w:color w:val="auto"/>
          <w:spacing w:val="-3"/>
          <w:sz w:val="21"/>
        </w:rPr>
        <w:t>预付款金额；</w:t>
      </w:r>
    </w:p>
    <w:p>
      <w:pPr>
        <w:pStyle w:val="44"/>
        <w:numPr>
          <w:ilvl w:val="0"/>
          <w:numId w:val="43"/>
        </w:numPr>
        <w:tabs>
          <w:tab w:val="left" w:pos="1163"/>
        </w:tabs>
        <w:spacing w:line="417" w:lineRule="auto"/>
        <w:ind w:left="212" w:right="426" w:firstLine="420"/>
        <w:rPr>
          <w:color w:val="auto"/>
          <w:sz w:val="21"/>
        </w:rPr>
      </w:pPr>
      <w:r>
        <w:rPr>
          <w:color w:val="auto"/>
          <w:spacing w:val="-4"/>
          <w:sz w:val="21"/>
        </w:rPr>
        <w:t xml:space="preserve">当期根据第 </w:t>
      </w:r>
      <w:r>
        <w:rPr>
          <w:rFonts w:ascii="Times New Roman" w:eastAsia="Times New Roman"/>
          <w:color w:val="auto"/>
          <w:sz w:val="21"/>
        </w:rPr>
        <w:t>17.4.1</w:t>
      </w:r>
      <w:r>
        <w:rPr>
          <w:rFonts w:ascii="Times New Roman" w:eastAsia="Times New Roman"/>
          <w:color w:val="auto"/>
          <w:spacing w:val="20"/>
          <w:sz w:val="21"/>
        </w:rPr>
        <w:t xml:space="preserve"> </w:t>
      </w:r>
      <w:r>
        <w:rPr>
          <w:color w:val="auto"/>
          <w:spacing w:val="-3"/>
          <w:sz w:val="21"/>
        </w:rPr>
        <w:t>项约定应扣减的质量保证金金额，以及截至当期期末累计扣减的质量保证金金额；</w:t>
      </w:r>
    </w:p>
    <w:p>
      <w:pPr>
        <w:pStyle w:val="44"/>
        <w:numPr>
          <w:ilvl w:val="0"/>
          <w:numId w:val="43"/>
        </w:numPr>
        <w:tabs>
          <w:tab w:val="left" w:pos="1163"/>
        </w:tabs>
        <w:ind w:hanging="530"/>
        <w:rPr>
          <w:color w:val="auto"/>
          <w:sz w:val="21"/>
        </w:rPr>
      </w:pPr>
      <w:r>
        <w:rPr>
          <w:color w:val="auto"/>
          <w:spacing w:val="-3"/>
          <w:sz w:val="21"/>
        </w:rPr>
        <w:t>当期根据合同应增加和扣减的其他金额，以及截至当期期末累计增加和扣减的金额。</w:t>
      </w:r>
      <w:r>
        <w:rPr>
          <w:color w:val="auto"/>
          <w:sz w:val="21"/>
        </w:rPr>
        <w:t xml:space="preserve">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进度付款证书和支付时间</w:t>
      </w:r>
      <w:r>
        <w:rPr>
          <w:color w:val="auto"/>
          <w:sz w:val="21"/>
        </w:rPr>
        <w:t xml:space="preserve"> </w:t>
      </w:r>
    </w:p>
    <w:p>
      <w:pPr>
        <w:pStyle w:val="8"/>
        <w:spacing w:before="7"/>
        <w:rPr>
          <w:color w:val="auto"/>
          <w:sz w:val="15"/>
        </w:rPr>
      </w:pPr>
    </w:p>
    <w:p>
      <w:pPr>
        <w:pStyle w:val="44"/>
        <w:numPr>
          <w:ilvl w:val="0"/>
          <w:numId w:val="44"/>
        </w:numPr>
        <w:tabs>
          <w:tab w:val="left" w:pos="1163"/>
        </w:tabs>
        <w:spacing w:line="417" w:lineRule="auto"/>
        <w:ind w:right="405" w:firstLine="420"/>
        <w:jc w:val="both"/>
        <w:rPr>
          <w:color w:val="auto"/>
          <w:sz w:val="21"/>
        </w:rPr>
      </w:pPr>
      <w:r>
        <w:rPr>
          <w:color w:val="auto"/>
          <w:spacing w:val="-5"/>
          <w:sz w:val="21"/>
        </w:rPr>
        <w:t xml:space="preserve">监理人在收到承包人进度付款申请单以及相应的支持性证明文件后的 </w:t>
      </w:r>
      <w:r>
        <w:rPr>
          <w:rFonts w:ascii="Times New Roman" w:eastAsia="Times New Roman"/>
          <w:color w:val="auto"/>
          <w:sz w:val="21"/>
        </w:rPr>
        <w:t>14</w:t>
      </w:r>
      <w:r>
        <w:rPr>
          <w:rFonts w:ascii="Times New Roman" w:eastAsia="Times New Roman"/>
          <w:color w:val="auto"/>
          <w:spacing w:val="14"/>
          <w:sz w:val="21"/>
        </w:rPr>
        <w:t xml:space="preserve"> </w:t>
      </w:r>
      <w:r>
        <w:rPr>
          <w:color w:val="auto"/>
          <w:spacing w:val="-4"/>
          <w:sz w:val="21"/>
        </w:rPr>
        <w:t>天内完成审核，提出发</w:t>
      </w:r>
      <w:r>
        <w:rPr>
          <w:color w:val="auto"/>
          <w:spacing w:val="-5"/>
          <w:sz w:val="21"/>
        </w:rPr>
        <w:t>包人到期应支付给承包人的金额以及相应的支持性材料，经发包人审批同意后，由监理人向承包人出具经</w:t>
      </w:r>
      <w:r>
        <w:rPr>
          <w:color w:val="auto"/>
          <w:spacing w:val="-4"/>
          <w:sz w:val="21"/>
        </w:rPr>
        <w:t>发包人签认的进度付款证书。监理人未能在前述时间完成审核的，视为监理人同意承包人进度付款申请。</w:t>
      </w:r>
      <w:r>
        <w:rPr>
          <w:color w:val="auto"/>
          <w:spacing w:val="-3"/>
          <w:sz w:val="21"/>
        </w:rPr>
        <w:t>监理人有权核减承包人未能按照合同要求履行任何工作或义务的相应金额。</w:t>
      </w:r>
    </w:p>
    <w:p>
      <w:pPr>
        <w:spacing w:line="417" w:lineRule="auto"/>
        <w:jc w:val="both"/>
        <w:rPr>
          <w:color w:val="auto"/>
          <w:sz w:val="21"/>
        </w:rPr>
        <w:sectPr>
          <w:pgSz w:w="11910" w:h="16840"/>
          <w:pgMar w:top="1540" w:right="700" w:bottom="1180" w:left="920" w:header="0" w:footer="995" w:gutter="0"/>
          <w:cols w:space="720" w:num="1"/>
        </w:sectPr>
      </w:pPr>
    </w:p>
    <w:p>
      <w:pPr>
        <w:pStyle w:val="44"/>
        <w:numPr>
          <w:ilvl w:val="0"/>
          <w:numId w:val="44"/>
        </w:numPr>
        <w:tabs>
          <w:tab w:val="left" w:pos="1160"/>
        </w:tabs>
        <w:spacing w:before="65" w:line="417" w:lineRule="auto"/>
        <w:ind w:right="426" w:firstLine="420"/>
        <w:jc w:val="both"/>
        <w:rPr>
          <w:color w:val="auto"/>
          <w:sz w:val="21"/>
        </w:rPr>
      </w:pPr>
      <w:r>
        <w:rPr>
          <w:color w:val="auto"/>
          <w:spacing w:val="-5"/>
          <w:sz w:val="21"/>
        </w:rPr>
        <w:t xml:space="preserve">发包人最迟应在监理人收到进度付款申请单后的 </w:t>
      </w:r>
      <w:r>
        <w:rPr>
          <w:rFonts w:ascii="Times New Roman" w:eastAsia="Times New Roman"/>
          <w:color w:val="auto"/>
          <w:sz w:val="21"/>
        </w:rPr>
        <w:t>28</w:t>
      </w:r>
      <w:r>
        <w:rPr>
          <w:rFonts w:ascii="Times New Roman" w:eastAsia="Times New Roman"/>
          <w:color w:val="auto"/>
          <w:spacing w:val="12"/>
          <w:sz w:val="21"/>
        </w:rPr>
        <w:t xml:space="preserve">  </w:t>
      </w:r>
      <w:r>
        <w:rPr>
          <w:color w:val="auto"/>
          <w:spacing w:val="-9"/>
          <w:sz w:val="21"/>
        </w:rPr>
        <w:t>天内，将进度应付款支付给承包人。发包</w:t>
      </w:r>
      <w:r>
        <w:rPr>
          <w:color w:val="auto"/>
          <w:spacing w:val="-8"/>
          <w:sz w:val="21"/>
        </w:rPr>
        <w:t>人未能在前述时间内完成审批或不予答复的，视为发包人同意进度付款申请。发包人不按期支付的，按专</w:t>
      </w:r>
      <w:r>
        <w:rPr>
          <w:color w:val="auto"/>
          <w:spacing w:val="-3"/>
          <w:sz w:val="21"/>
        </w:rPr>
        <w:t>用合同条款的约定支付逾期付款违约金。</w:t>
      </w:r>
    </w:p>
    <w:p>
      <w:pPr>
        <w:pStyle w:val="44"/>
        <w:numPr>
          <w:ilvl w:val="0"/>
          <w:numId w:val="44"/>
        </w:numPr>
        <w:tabs>
          <w:tab w:val="left" w:pos="1163"/>
        </w:tabs>
        <w:spacing w:line="269" w:lineRule="exact"/>
        <w:ind w:left="1162" w:hanging="530"/>
        <w:rPr>
          <w:color w:val="auto"/>
          <w:sz w:val="21"/>
        </w:rPr>
      </w:pPr>
      <w:r>
        <w:rPr>
          <w:color w:val="auto"/>
          <w:spacing w:val="-3"/>
          <w:sz w:val="21"/>
        </w:rPr>
        <w:t>监理人出具进度付款证书，不应视为监理人已同意、批准或接受了承包人完成的该部分工作。</w:t>
      </w:r>
    </w:p>
    <w:p>
      <w:pPr>
        <w:pStyle w:val="8"/>
        <w:spacing w:before="7"/>
        <w:rPr>
          <w:color w:val="auto"/>
          <w:sz w:val="15"/>
        </w:rPr>
      </w:pPr>
    </w:p>
    <w:p>
      <w:pPr>
        <w:pStyle w:val="44"/>
        <w:numPr>
          <w:ilvl w:val="0"/>
          <w:numId w:val="44"/>
        </w:numPr>
        <w:tabs>
          <w:tab w:val="left" w:pos="1163"/>
        </w:tabs>
        <w:ind w:left="1162" w:hanging="530"/>
        <w:rPr>
          <w:color w:val="auto"/>
          <w:sz w:val="21"/>
        </w:rPr>
      </w:pPr>
      <w:r>
        <w:rPr>
          <w:color w:val="auto"/>
          <w:spacing w:val="-7"/>
          <w:sz w:val="21"/>
        </w:rPr>
        <w:t>进度付款涉及政府投资资金的，按照国库集中支付等国家相关规定和专用合同条款的约定执行。</w:t>
      </w:r>
      <w:r>
        <w:rPr>
          <w:color w:val="auto"/>
          <w:sz w:val="21"/>
        </w:rPr>
        <w:t xml:space="preserve">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 xml:space="preserve">工程进度付款的修正 </w:t>
      </w:r>
    </w:p>
    <w:p>
      <w:pPr>
        <w:pStyle w:val="8"/>
        <w:spacing w:before="6"/>
        <w:rPr>
          <w:color w:val="auto"/>
          <w:sz w:val="15"/>
        </w:rPr>
      </w:pPr>
    </w:p>
    <w:p>
      <w:pPr>
        <w:pStyle w:val="8"/>
        <w:spacing w:before="1" w:line="417" w:lineRule="auto"/>
        <w:ind w:left="212" w:right="404" w:firstLine="420"/>
        <w:rPr>
          <w:color w:val="auto"/>
        </w:rPr>
      </w:pPr>
      <w:r>
        <w:rPr>
          <w:color w:val="auto"/>
        </w:rPr>
        <w:t xml:space="preserve">在对以往历次已签发的进度付款证书进行汇总和复核中发现错、漏或重复的，监理人有权予以修正， 承包人也有权提出修正申请。经监理人、承包人复核同意的修正，应在本次进度付款中支付或扣除。 </w:t>
      </w:r>
    </w:p>
    <w:p>
      <w:pPr>
        <w:pStyle w:val="41"/>
        <w:numPr>
          <w:ilvl w:val="1"/>
          <w:numId w:val="22"/>
        </w:numPr>
        <w:tabs>
          <w:tab w:val="left" w:pos="754"/>
        </w:tabs>
        <w:spacing w:line="287" w:lineRule="exact"/>
        <w:ind w:hanging="542"/>
        <w:rPr>
          <w:rFonts w:ascii="Times New Roman" w:eastAsia="Times New Roman"/>
          <w:color w:val="auto"/>
        </w:rPr>
      </w:pPr>
      <w:bookmarkStart w:id="208" w:name="17.4_质量保证金"/>
      <w:bookmarkEnd w:id="208"/>
      <w:r>
        <w:rPr>
          <w:color w:val="auto"/>
        </w:rPr>
        <w:t>质量保证金</w:t>
      </w:r>
    </w:p>
    <w:p>
      <w:pPr>
        <w:pStyle w:val="44"/>
        <w:numPr>
          <w:ilvl w:val="2"/>
          <w:numId w:val="22"/>
        </w:numPr>
        <w:tabs>
          <w:tab w:val="left" w:pos="1163"/>
        </w:tabs>
        <w:spacing w:before="180" w:line="417" w:lineRule="auto"/>
        <w:ind w:left="212" w:right="426" w:firstLine="420"/>
        <w:jc w:val="both"/>
        <w:rPr>
          <w:rFonts w:ascii="Times New Roman" w:eastAsia="Times New Roman"/>
          <w:color w:val="auto"/>
          <w:sz w:val="19"/>
        </w:rPr>
      </w:pPr>
      <w:r>
        <w:rPr>
          <w:color w:val="auto"/>
          <w:spacing w:val="-5"/>
          <w:sz w:val="21"/>
        </w:rPr>
        <w:t>监理人应从发包人的每笔进度付款中，按专用合同条款的约定扣留质量保证金，直至扣留的质</w:t>
      </w:r>
      <w:r>
        <w:rPr>
          <w:color w:val="auto"/>
          <w:spacing w:val="-6"/>
          <w:sz w:val="21"/>
        </w:rPr>
        <w:t>量保证金总额达到专用合同条款约定的金额或比例为止。质量保证金的计算额度不包括预付款的支付、扣</w:t>
      </w:r>
      <w:r>
        <w:rPr>
          <w:color w:val="auto"/>
          <w:spacing w:val="-4"/>
          <w:sz w:val="21"/>
        </w:rPr>
        <w:t>回以及价格调整的金额。</w:t>
      </w:r>
      <w:r>
        <w:rPr>
          <w:color w:val="auto"/>
          <w:sz w:val="21"/>
        </w:rPr>
        <w:t xml:space="preserve">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3"/>
          <w:sz w:val="21"/>
        </w:rPr>
        <w:t xml:space="preserve">在第 </w:t>
      </w:r>
      <w:r>
        <w:rPr>
          <w:rFonts w:ascii="Times New Roman" w:eastAsia="Times New Roman"/>
          <w:color w:val="auto"/>
          <w:sz w:val="21"/>
        </w:rPr>
        <w:t>1.1.4.5</w:t>
      </w:r>
      <w:r>
        <w:rPr>
          <w:rFonts w:ascii="Times New Roman" w:eastAsia="Times New Roman"/>
          <w:color w:val="auto"/>
          <w:spacing w:val="15"/>
          <w:sz w:val="21"/>
        </w:rPr>
        <w:t xml:space="preserve"> </w:t>
      </w:r>
      <w:r>
        <w:rPr>
          <w:color w:val="auto"/>
          <w:spacing w:val="-3"/>
          <w:sz w:val="21"/>
        </w:rPr>
        <w:t>目约定的缺陷责任期满时，承包人向发包人申请到期应返还承包人剩余的质量保</w:t>
      </w:r>
      <w:r>
        <w:rPr>
          <w:color w:val="auto"/>
          <w:spacing w:val="-2"/>
          <w:sz w:val="21"/>
        </w:rPr>
        <w:t xml:space="preserve">证金，发包人应在 </w:t>
      </w:r>
      <w:r>
        <w:rPr>
          <w:color w:val="auto"/>
          <w:sz w:val="21"/>
        </w:rPr>
        <w:t>14</w:t>
      </w:r>
      <w:r>
        <w:rPr>
          <w:color w:val="auto"/>
          <w:spacing w:val="-3"/>
          <w:sz w:val="21"/>
        </w:rPr>
        <w:t xml:space="preserve"> 天内会同承包人按照合同约定的内容核实承包人是否完成缺陷责任。如无异议，发包人应当在核实后将剩余质量保证金返还承包人。</w:t>
      </w:r>
      <w:r>
        <w:rPr>
          <w:color w:val="auto"/>
          <w:sz w:val="21"/>
        </w:rPr>
        <w:t xml:space="preserve">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3"/>
          <w:sz w:val="21"/>
        </w:rPr>
        <w:t xml:space="preserve">在第 </w:t>
      </w:r>
      <w:r>
        <w:rPr>
          <w:rFonts w:ascii="Times New Roman" w:eastAsia="Times New Roman"/>
          <w:color w:val="auto"/>
          <w:sz w:val="21"/>
        </w:rPr>
        <w:t>1.1.4.5</w:t>
      </w:r>
      <w:r>
        <w:rPr>
          <w:rFonts w:ascii="Times New Roman" w:eastAsia="Times New Roman"/>
          <w:color w:val="auto"/>
          <w:spacing w:val="15"/>
          <w:sz w:val="21"/>
        </w:rPr>
        <w:t xml:space="preserve"> </w:t>
      </w:r>
      <w:r>
        <w:rPr>
          <w:color w:val="auto"/>
          <w:spacing w:val="-3"/>
          <w:sz w:val="21"/>
        </w:rPr>
        <w:t xml:space="preserve">目约定的缺陷责任期满时，承包人没有完成缺陷责任的，发包人有权扣留与未履行责任剩余工作所需金额相应的质量保证金余额，并有权根据第 </w:t>
      </w:r>
      <w:r>
        <w:rPr>
          <w:color w:val="auto"/>
          <w:sz w:val="21"/>
        </w:rPr>
        <w:t>19.3</w:t>
      </w:r>
      <w:r>
        <w:rPr>
          <w:color w:val="auto"/>
          <w:spacing w:val="-3"/>
          <w:sz w:val="21"/>
        </w:rPr>
        <w:t xml:space="preserve"> 款约定要求延长缺陷责任期，直至完成剩余工作为止。</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09" w:name="17.5_竣工结算"/>
      <w:bookmarkEnd w:id="209"/>
      <w:r>
        <w:rPr>
          <w:color w:val="auto"/>
        </w:rPr>
        <w:t>竣工结算</w:t>
      </w:r>
    </w:p>
    <w:p>
      <w:pPr>
        <w:pStyle w:val="44"/>
        <w:numPr>
          <w:ilvl w:val="2"/>
          <w:numId w:val="22"/>
        </w:numPr>
        <w:tabs>
          <w:tab w:val="left" w:pos="1163"/>
        </w:tabs>
        <w:spacing w:before="180"/>
        <w:ind w:left="1162" w:hanging="530"/>
        <w:rPr>
          <w:rFonts w:ascii="Times New Roman" w:eastAsia="Times New Roman"/>
          <w:color w:val="auto"/>
          <w:sz w:val="19"/>
        </w:rPr>
      </w:pPr>
      <w:r>
        <w:rPr>
          <w:color w:val="auto"/>
          <w:spacing w:val="-3"/>
          <w:sz w:val="21"/>
        </w:rPr>
        <w:t>竣工付款申请单</w:t>
      </w:r>
      <w:r>
        <w:rPr>
          <w:color w:val="auto"/>
          <w:sz w:val="21"/>
        </w:rPr>
        <w:t xml:space="preserve"> </w:t>
      </w:r>
    </w:p>
    <w:p>
      <w:pPr>
        <w:pStyle w:val="8"/>
        <w:spacing w:before="7"/>
        <w:rPr>
          <w:color w:val="auto"/>
          <w:sz w:val="15"/>
        </w:rPr>
      </w:pPr>
    </w:p>
    <w:p>
      <w:pPr>
        <w:pStyle w:val="44"/>
        <w:numPr>
          <w:ilvl w:val="0"/>
          <w:numId w:val="45"/>
        </w:numPr>
        <w:tabs>
          <w:tab w:val="left" w:pos="1165"/>
        </w:tabs>
        <w:spacing w:line="417" w:lineRule="auto"/>
        <w:ind w:right="431" w:firstLine="420"/>
        <w:jc w:val="both"/>
        <w:rPr>
          <w:color w:val="auto"/>
          <w:sz w:val="21"/>
        </w:rPr>
      </w:pPr>
      <w:r>
        <w:rPr>
          <w:color w:val="auto"/>
          <w:sz w:val="21"/>
        </w:rPr>
        <w:t>工程接收证书颁发后，承包人应按专用合同条款约定的份数和期限向监理人提交竣工付款申请</w:t>
      </w:r>
      <w:r>
        <w:rPr>
          <w:color w:val="auto"/>
          <w:spacing w:val="-5"/>
          <w:sz w:val="21"/>
        </w:rPr>
        <w:t>单，并提供相关证明材料。除专用合同条款另有约定外，竣工付款申请单应包括下列内容：竣工结算合同</w:t>
      </w:r>
      <w:r>
        <w:rPr>
          <w:color w:val="auto"/>
          <w:spacing w:val="-4"/>
          <w:sz w:val="21"/>
        </w:rPr>
        <w:t>总价、发包人已支付承包人的工程价款、应扣留的质量保证金、应支付的竣工付款金额。</w:t>
      </w:r>
    </w:p>
    <w:p>
      <w:pPr>
        <w:pStyle w:val="44"/>
        <w:numPr>
          <w:ilvl w:val="0"/>
          <w:numId w:val="45"/>
        </w:numPr>
        <w:tabs>
          <w:tab w:val="left" w:pos="1165"/>
        </w:tabs>
        <w:spacing w:line="417" w:lineRule="auto"/>
        <w:ind w:right="436" w:firstLine="420"/>
        <w:rPr>
          <w:color w:val="auto"/>
          <w:sz w:val="21"/>
        </w:rPr>
      </w:pPr>
      <w:r>
        <w:rPr>
          <w:color w:val="auto"/>
          <w:spacing w:val="-1"/>
          <w:sz w:val="21"/>
        </w:rPr>
        <w:t>监理人对竣工付款申请单有异议的，有权要求承包人进行修正和提供补充资料。经监理人和承</w:t>
      </w:r>
      <w:r>
        <w:rPr>
          <w:color w:val="auto"/>
          <w:spacing w:val="-3"/>
          <w:sz w:val="21"/>
        </w:rPr>
        <w:t xml:space="preserve">包人协商后，由承包人向监理人提交修正后的竣工付款申请单。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竣工付款证书及支付时间</w:t>
      </w:r>
      <w:r>
        <w:rPr>
          <w:color w:val="auto"/>
          <w:sz w:val="21"/>
        </w:rPr>
        <w:t xml:space="preserve"> </w:t>
      </w:r>
    </w:p>
    <w:p>
      <w:pPr>
        <w:pStyle w:val="8"/>
        <w:spacing w:before="7"/>
        <w:rPr>
          <w:color w:val="auto"/>
          <w:sz w:val="15"/>
        </w:rPr>
      </w:pPr>
    </w:p>
    <w:p>
      <w:pPr>
        <w:pStyle w:val="44"/>
        <w:numPr>
          <w:ilvl w:val="0"/>
          <w:numId w:val="46"/>
        </w:numPr>
        <w:tabs>
          <w:tab w:val="left" w:pos="1163"/>
        </w:tabs>
        <w:ind w:hanging="530"/>
        <w:rPr>
          <w:color w:val="auto"/>
          <w:sz w:val="21"/>
        </w:rPr>
      </w:pPr>
      <w:r>
        <w:rPr>
          <w:color w:val="auto"/>
          <w:spacing w:val="-6"/>
          <w:sz w:val="21"/>
        </w:rPr>
        <w:t xml:space="preserve">监理人在收到承包人提交的竣工付款申请单后的 </w:t>
      </w:r>
      <w:r>
        <w:rPr>
          <w:rFonts w:ascii="Times New Roman" w:eastAsia="Times New Roman"/>
          <w:color w:val="auto"/>
          <w:sz w:val="21"/>
        </w:rPr>
        <w:t>14</w:t>
      </w:r>
      <w:r>
        <w:rPr>
          <w:rFonts w:ascii="Times New Roman" w:eastAsia="Times New Roman"/>
          <w:color w:val="auto"/>
          <w:spacing w:val="2"/>
          <w:sz w:val="21"/>
        </w:rPr>
        <w:t xml:space="preserve"> </w:t>
      </w:r>
      <w:r>
        <w:rPr>
          <w:color w:val="auto"/>
          <w:spacing w:val="-5"/>
          <w:sz w:val="21"/>
        </w:rPr>
        <w:t>天内完成核查，提出发包人到期应支付给承</w:t>
      </w:r>
    </w:p>
    <w:p>
      <w:pPr>
        <w:pStyle w:val="8"/>
        <w:spacing w:before="6"/>
        <w:rPr>
          <w:color w:val="auto"/>
          <w:sz w:val="15"/>
        </w:rPr>
      </w:pPr>
    </w:p>
    <w:p>
      <w:pPr>
        <w:pStyle w:val="8"/>
        <w:spacing w:before="1" w:line="417" w:lineRule="auto"/>
        <w:ind w:left="212" w:right="404"/>
        <w:rPr>
          <w:color w:val="auto"/>
        </w:rPr>
      </w:pPr>
      <w:r>
        <w:rPr>
          <w:color w:val="auto"/>
        </w:rPr>
        <w:t xml:space="preserve">包人的价款送发包人审核并抄送承包人。发包人应在收到后 </w:t>
      </w:r>
      <w:r>
        <w:rPr>
          <w:rFonts w:ascii="Times New Roman" w:eastAsia="Times New Roman"/>
          <w:color w:val="auto"/>
        </w:rPr>
        <w:t xml:space="preserve">14 </w:t>
      </w:r>
      <w:r>
        <w:rPr>
          <w:color w:val="auto"/>
        </w:rPr>
        <w:t>天内审核完毕，由监理人向承包人出具经发包人签认的竣工付款证书。监理人未在约定时间内核查，又未提出具体意见的，视为承包人提交的竣工</w:t>
      </w:r>
    </w:p>
    <w:p>
      <w:pPr>
        <w:spacing w:line="417" w:lineRule="auto"/>
        <w:rPr>
          <w:color w:val="auto"/>
        </w:rPr>
        <w:sectPr>
          <w:pgSz w:w="11910" w:h="16840"/>
          <w:pgMar w:top="1540" w:right="700" w:bottom="1180" w:left="920" w:header="0" w:footer="995" w:gutter="0"/>
          <w:cols w:space="720" w:num="1"/>
        </w:sectPr>
      </w:pPr>
    </w:p>
    <w:p>
      <w:pPr>
        <w:pStyle w:val="8"/>
        <w:spacing w:before="45" w:line="417" w:lineRule="auto"/>
        <w:ind w:left="212" w:right="426"/>
        <w:rPr>
          <w:color w:val="auto"/>
        </w:rPr>
      </w:pPr>
      <w:r>
        <w:rPr>
          <w:color w:val="auto"/>
          <w:spacing w:val="-5"/>
        </w:rPr>
        <w:t>付款申请单已经监理人核查同意；发包人未在约定时间内审核又未提出具体意见的，监理人提出发包人到</w:t>
      </w:r>
      <w:r>
        <w:rPr>
          <w:color w:val="auto"/>
          <w:spacing w:val="-4"/>
        </w:rPr>
        <w:t>期应支付给承包人的价款视为已经发包人同意。</w:t>
      </w:r>
    </w:p>
    <w:p>
      <w:pPr>
        <w:pStyle w:val="44"/>
        <w:numPr>
          <w:ilvl w:val="0"/>
          <w:numId w:val="46"/>
        </w:numPr>
        <w:tabs>
          <w:tab w:val="left" w:pos="1160"/>
        </w:tabs>
        <w:spacing w:line="417" w:lineRule="auto"/>
        <w:ind w:left="212" w:right="429" w:firstLine="420"/>
        <w:rPr>
          <w:color w:val="auto"/>
          <w:sz w:val="21"/>
        </w:rPr>
      </w:pPr>
      <w:r>
        <w:rPr>
          <w:color w:val="auto"/>
          <w:spacing w:val="-5"/>
          <w:sz w:val="21"/>
        </w:rPr>
        <w:t xml:space="preserve">发包人应在监理人出具竣工付款证书后的 </w:t>
      </w:r>
      <w:r>
        <w:rPr>
          <w:rFonts w:ascii="Times New Roman" w:eastAsia="Times New Roman"/>
          <w:color w:val="auto"/>
          <w:sz w:val="21"/>
        </w:rPr>
        <w:t>14</w:t>
      </w:r>
      <w:r>
        <w:rPr>
          <w:rFonts w:ascii="Times New Roman" w:eastAsia="Times New Roman"/>
          <w:color w:val="auto"/>
          <w:spacing w:val="12"/>
          <w:sz w:val="21"/>
        </w:rPr>
        <w:t xml:space="preserve">  </w:t>
      </w:r>
      <w:r>
        <w:rPr>
          <w:color w:val="auto"/>
          <w:spacing w:val="-9"/>
          <w:sz w:val="21"/>
        </w:rPr>
        <w:t>天内，将应支付款支付给承包人。发包人不按期</w:t>
      </w:r>
      <w:r>
        <w:rPr>
          <w:color w:val="auto"/>
          <w:spacing w:val="-10"/>
          <w:sz w:val="21"/>
        </w:rPr>
        <w:t xml:space="preserve">支付的，按第 </w:t>
      </w:r>
      <w:r>
        <w:rPr>
          <w:rFonts w:ascii="Times New Roman" w:eastAsia="Times New Roman"/>
          <w:color w:val="auto"/>
          <w:sz w:val="21"/>
        </w:rPr>
        <w:t>17.3.4</w:t>
      </w:r>
      <w:r>
        <w:rPr>
          <w:color w:val="auto"/>
          <w:sz w:val="21"/>
        </w:rPr>
        <w:t>（</w:t>
      </w:r>
      <w:r>
        <w:rPr>
          <w:rFonts w:ascii="Times New Roman" w:eastAsia="Times New Roman"/>
          <w:color w:val="auto"/>
          <w:sz w:val="21"/>
        </w:rPr>
        <w:t>2</w:t>
      </w:r>
      <w:r>
        <w:rPr>
          <w:color w:val="auto"/>
          <w:sz w:val="21"/>
        </w:rPr>
        <w:t>）</w:t>
      </w:r>
      <w:r>
        <w:rPr>
          <w:color w:val="auto"/>
          <w:spacing w:val="-3"/>
          <w:sz w:val="21"/>
        </w:rPr>
        <w:t>目的约定，将逾期付款违约金支付给承包人。</w:t>
      </w:r>
    </w:p>
    <w:p>
      <w:pPr>
        <w:pStyle w:val="44"/>
        <w:numPr>
          <w:ilvl w:val="0"/>
          <w:numId w:val="46"/>
        </w:numPr>
        <w:tabs>
          <w:tab w:val="left" w:pos="1165"/>
        </w:tabs>
        <w:spacing w:line="417" w:lineRule="auto"/>
        <w:ind w:left="212" w:right="436" w:firstLine="420"/>
        <w:rPr>
          <w:color w:val="auto"/>
          <w:sz w:val="21"/>
        </w:rPr>
      </w:pPr>
      <w:r>
        <w:rPr>
          <w:color w:val="auto"/>
          <w:spacing w:val="-1"/>
          <w:sz w:val="21"/>
        </w:rPr>
        <w:t>承包人对发包人签认的竣工付款证书有异议的，发包人可出具竣工付款申请单中承包人已同意</w:t>
      </w:r>
      <w:r>
        <w:rPr>
          <w:color w:val="auto"/>
          <w:spacing w:val="-6"/>
          <w:sz w:val="21"/>
        </w:rPr>
        <w:t xml:space="preserve">部分的临时付款证书。存在争议的部分，按第 </w:t>
      </w:r>
      <w:r>
        <w:rPr>
          <w:rFonts w:ascii="Times New Roman" w:eastAsia="Times New Roman"/>
          <w:color w:val="auto"/>
          <w:sz w:val="21"/>
        </w:rPr>
        <w:t>24</w:t>
      </w:r>
      <w:r>
        <w:rPr>
          <w:rFonts w:ascii="Times New Roman" w:eastAsia="Times New Roman"/>
          <w:color w:val="auto"/>
          <w:spacing w:val="-3"/>
          <w:sz w:val="21"/>
        </w:rPr>
        <w:t xml:space="preserve"> </w:t>
      </w:r>
      <w:r>
        <w:rPr>
          <w:color w:val="auto"/>
          <w:spacing w:val="-3"/>
          <w:sz w:val="21"/>
        </w:rPr>
        <w:t>条的约定执行。</w:t>
      </w:r>
    </w:p>
    <w:p>
      <w:pPr>
        <w:pStyle w:val="44"/>
        <w:numPr>
          <w:ilvl w:val="0"/>
          <w:numId w:val="46"/>
        </w:numPr>
        <w:tabs>
          <w:tab w:val="left" w:pos="1163"/>
        </w:tabs>
        <w:spacing w:line="269" w:lineRule="exact"/>
        <w:ind w:hanging="530"/>
        <w:rPr>
          <w:color w:val="auto"/>
          <w:sz w:val="21"/>
        </w:rPr>
      </w:pPr>
      <w:r>
        <w:rPr>
          <w:color w:val="auto"/>
          <w:spacing w:val="-6"/>
          <w:sz w:val="21"/>
        </w:rPr>
        <w:t xml:space="preserve">竣工付款涉及政府投资资金的，按第 </w:t>
      </w:r>
      <w:r>
        <w:rPr>
          <w:rFonts w:ascii="Times New Roman" w:eastAsia="Times New Roman"/>
          <w:color w:val="auto"/>
          <w:sz w:val="21"/>
        </w:rPr>
        <w:t>17.3.4</w:t>
      </w:r>
      <w:r>
        <w:rPr>
          <w:color w:val="auto"/>
          <w:sz w:val="21"/>
        </w:rPr>
        <w:t>（</w:t>
      </w:r>
      <w:r>
        <w:rPr>
          <w:rFonts w:ascii="Times New Roman" w:eastAsia="Times New Roman"/>
          <w:color w:val="auto"/>
          <w:sz w:val="21"/>
        </w:rPr>
        <w:t>4</w:t>
      </w:r>
      <w:r>
        <w:rPr>
          <w:color w:val="auto"/>
          <w:sz w:val="21"/>
        </w:rPr>
        <w:t>）</w:t>
      </w:r>
      <w:r>
        <w:rPr>
          <w:color w:val="auto"/>
          <w:spacing w:val="-3"/>
          <w:sz w:val="21"/>
        </w:rPr>
        <w:t>目的约定执行。</w:t>
      </w:r>
      <w:r>
        <w:rPr>
          <w:color w:val="auto"/>
          <w:sz w:val="21"/>
        </w:rPr>
        <w:t xml:space="preserve"> </w:t>
      </w:r>
    </w:p>
    <w:p>
      <w:pPr>
        <w:pStyle w:val="41"/>
        <w:numPr>
          <w:ilvl w:val="1"/>
          <w:numId w:val="22"/>
        </w:numPr>
        <w:tabs>
          <w:tab w:val="left" w:pos="754"/>
        </w:tabs>
        <w:spacing w:before="178"/>
        <w:ind w:hanging="542"/>
        <w:rPr>
          <w:rFonts w:ascii="Times New Roman" w:eastAsia="Times New Roman"/>
          <w:color w:val="auto"/>
        </w:rPr>
      </w:pPr>
      <w:bookmarkStart w:id="210" w:name="17.6_最终结清"/>
      <w:bookmarkEnd w:id="210"/>
      <w:r>
        <w:rPr>
          <w:color w:val="auto"/>
        </w:rPr>
        <w:t>最终结清</w:t>
      </w:r>
    </w:p>
    <w:p>
      <w:pPr>
        <w:pStyle w:val="44"/>
        <w:numPr>
          <w:ilvl w:val="2"/>
          <w:numId w:val="22"/>
        </w:numPr>
        <w:tabs>
          <w:tab w:val="left" w:pos="1163"/>
        </w:tabs>
        <w:spacing w:before="182"/>
        <w:ind w:left="1162" w:hanging="530"/>
        <w:rPr>
          <w:rFonts w:ascii="Times New Roman" w:eastAsia="Times New Roman"/>
          <w:color w:val="auto"/>
          <w:sz w:val="19"/>
        </w:rPr>
      </w:pPr>
      <w:r>
        <w:rPr>
          <w:color w:val="auto"/>
          <w:spacing w:val="-3"/>
          <w:sz w:val="21"/>
        </w:rPr>
        <w:t>最终结清申请单</w:t>
      </w:r>
      <w:r>
        <w:rPr>
          <w:color w:val="auto"/>
          <w:sz w:val="21"/>
        </w:rPr>
        <w:t xml:space="preserve"> </w:t>
      </w:r>
    </w:p>
    <w:p>
      <w:pPr>
        <w:pStyle w:val="8"/>
        <w:spacing w:before="6"/>
        <w:rPr>
          <w:color w:val="auto"/>
          <w:sz w:val="15"/>
        </w:rPr>
      </w:pPr>
    </w:p>
    <w:p>
      <w:pPr>
        <w:pStyle w:val="44"/>
        <w:numPr>
          <w:ilvl w:val="0"/>
          <w:numId w:val="47"/>
        </w:numPr>
        <w:tabs>
          <w:tab w:val="left" w:pos="1165"/>
        </w:tabs>
        <w:spacing w:line="417" w:lineRule="auto"/>
        <w:ind w:right="436" w:firstLine="420"/>
        <w:rPr>
          <w:color w:val="auto"/>
          <w:sz w:val="21"/>
        </w:rPr>
      </w:pPr>
      <w:r>
        <w:rPr>
          <w:color w:val="auto"/>
          <w:spacing w:val="-1"/>
          <w:sz w:val="21"/>
        </w:rPr>
        <w:t>缺陷责任期终止证书签发后，承包人可按专用合同条款约定的份数和期限向监理人提交最终结</w:t>
      </w:r>
      <w:r>
        <w:rPr>
          <w:color w:val="auto"/>
          <w:spacing w:val="-3"/>
          <w:sz w:val="21"/>
        </w:rPr>
        <w:t>清申请单，并提供相关证明材料。</w:t>
      </w:r>
    </w:p>
    <w:p>
      <w:pPr>
        <w:pStyle w:val="44"/>
        <w:numPr>
          <w:ilvl w:val="0"/>
          <w:numId w:val="47"/>
        </w:numPr>
        <w:tabs>
          <w:tab w:val="left" w:pos="1165"/>
        </w:tabs>
        <w:spacing w:line="417" w:lineRule="auto"/>
        <w:ind w:right="431" w:firstLine="420"/>
        <w:rPr>
          <w:color w:val="auto"/>
          <w:sz w:val="21"/>
        </w:rPr>
      </w:pPr>
      <w:r>
        <w:rPr>
          <w:color w:val="auto"/>
          <w:spacing w:val="-1"/>
          <w:sz w:val="21"/>
        </w:rPr>
        <w:t>发包人对最终结清申请单内容有异议的，有权要求承包人进行修正和提供补充资料，由承包人</w:t>
      </w:r>
      <w:r>
        <w:rPr>
          <w:color w:val="auto"/>
          <w:spacing w:val="-3"/>
          <w:sz w:val="21"/>
        </w:rPr>
        <w:t>向监理人提交修正后的最终结清申请单。</w:t>
      </w:r>
      <w:r>
        <w:rPr>
          <w:color w:val="auto"/>
          <w:sz w:val="21"/>
        </w:rPr>
        <w:t xml:space="preserve">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最终结清证书和支付时间</w:t>
      </w:r>
      <w:r>
        <w:rPr>
          <w:color w:val="auto"/>
          <w:sz w:val="21"/>
        </w:rPr>
        <w:t xml:space="preserve"> </w:t>
      </w:r>
    </w:p>
    <w:p>
      <w:pPr>
        <w:pStyle w:val="8"/>
        <w:spacing w:before="7"/>
        <w:rPr>
          <w:color w:val="auto"/>
          <w:sz w:val="15"/>
        </w:rPr>
      </w:pPr>
    </w:p>
    <w:p>
      <w:pPr>
        <w:pStyle w:val="44"/>
        <w:numPr>
          <w:ilvl w:val="0"/>
          <w:numId w:val="48"/>
        </w:numPr>
        <w:tabs>
          <w:tab w:val="left" w:pos="1163"/>
        </w:tabs>
        <w:ind w:hanging="530"/>
        <w:jc w:val="both"/>
        <w:rPr>
          <w:color w:val="auto"/>
          <w:sz w:val="21"/>
        </w:rPr>
      </w:pPr>
      <w:r>
        <w:rPr>
          <w:color w:val="auto"/>
          <w:spacing w:val="-6"/>
          <w:sz w:val="21"/>
        </w:rPr>
        <w:t xml:space="preserve">监理人收到承包人提交的最终结清申请单后的 </w:t>
      </w:r>
      <w:r>
        <w:rPr>
          <w:rFonts w:ascii="Times New Roman" w:eastAsia="Times New Roman"/>
          <w:color w:val="auto"/>
          <w:sz w:val="21"/>
        </w:rPr>
        <w:t>14</w:t>
      </w:r>
      <w:r>
        <w:rPr>
          <w:rFonts w:ascii="Times New Roman" w:eastAsia="Times New Roman"/>
          <w:color w:val="auto"/>
          <w:spacing w:val="5"/>
          <w:sz w:val="21"/>
        </w:rPr>
        <w:t xml:space="preserve"> </w:t>
      </w:r>
      <w:r>
        <w:rPr>
          <w:color w:val="auto"/>
          <w:spacing w:val="-5"/>
          <w:sz w:val="21"/>
        </w:rPr>
        <w:t>天内，提出发包人应支付给承包人的价款送发</w:t>
      </w:r>
    </w:p>
    <w:p>
      <w:pPr>
        <w:pStyle w:val="8"/>
        <w:spacing w:before="6"/>
        <w:rPr>
          <w:color w:val="auto"/>
          <w:sz w:val="15"/>
        </w:rPr>
      </w:pPr>
    </w:p>
    <w:p>
      <w:pPr>
        <w:pStyle w:val="8"/>
        <w:spacing w:before="1" w:line="417" w:lineRule="auto"/>
        <w:ind w:left="212" w:right="426"/>
        <w:jc w:val="both"/>
        <w:rPr>
          <w:color w:val="auto"/>
        </w:rPr>
      </w:pPr>
      <w:r>
        <w:rPr>
          <w:color w:val="auto"/>
          <w:spacing w:val="-3"/>
        </w:rPr>
        <w:t xml:space="preserve">包人审核并抄送承包人。发包人应在收到后 </w:t>
      </w:r>
      <w:r>
        <w:rPr>
          <w:rFonts w:ascii="Times New Roman" w:eastAsia="Times New Roman"/>
          <w:color w:val="auto"/>
        </w:rPr>
        <w:t xml:space="preserve">14 </w:t>
      </w:r>
      <w:r>
        <w:rPr>
          <w:color w:val="auto"/>
          <w:spacing w:val="-3"/>
        </w:rPr>
        <w:t>天内审核完毕，由监理人向承包人出具经发包人签认的最</w:t>
      </w:r>
      <w:r>
        <w:rPr>
          <w:color w:val="auto"/>
          <w:spacing w:val="-7"/>
        </w:rPr>
        <w:t>终结清证书。监理人未在约定时间内核查，又未提出具体意见的，视为承包人提交的最终结清申请已经监</w:t>
      </w:r>
      <w:r>
        <w:rPr>
          <w:color w:val="auto"/>
          <w:spacing w:val="-8"/>
        </w:rPr>
        <w:t>理人核查同意；发包人未在约定时间内审核又未提出具体意见的，监理人提出应支付给承包人的价款视为</w:t>
      </w:r>
      <w:r>
        <w:rPr>
          <w:color w:val="auto"/>
          <w:spacing w:val="-5"/>
        </w:rPr>
        <w:t>已经发包人同意。</w:t>
      </w:r>
    </w:p>
    <w:p>
      <w:pPr>
        <w:pStyle w:val="44"/>
        <w:numPr>
          <w:ilvl w:val="0"/>
          <w:numId w:val="48"/>
        </w:numPr>
        <w:tabs>
          <w:tab w:val="left" w:pos="1163"/>
        </w:tabs>
        <w:spacing w:line="417" w:lineRule="auto"/>
        <w:ind w:left="633" w:right="1823" w:firstLine="0"/>
        <w:jc w:val="both"/>
        <w:rPr>
          <w:color w:val="auto"/>
          <w:sz w:val="21"/>
        </w:rPr>
      </w:pPr>
      <w:r>
        <w:rPr>
          <w:color w:val="auto"/>
          <w:spacing w:val="-5"/>
          <w:sz w:val="21"/>
        </w:rPr>
        <w:t xml:space="preserve">发包人应在监理人出具最终结清证书后的 </w:t>
      </w:r>
      <w:r>
        <w:rPr>
          <w:rFonts w:ascii="Times New Roman" w:eastAsia="Times New Roman"/>
          <w:color w:val="auto"/>
          <w:sz w:val="21"/>
        </w:rPr>
        <w:t>14</w:t>
      </w:r>
      <w:r>
        <w:rPr>
          <w:rFonts w:ascii="Times New Roman" w:eastAsia="Times New Roman"/>
          <w:color w:val="auto"/>
          <w:spacing w:val="23"/>
          <w:sz w:val="21"/>
        </w:rPr>
        <w:t xml:space="preserve"> </w:t>
      </w:r>
      <w:r>
        <w:rPr>
          <w:color w:val="auto"/>
          <w:spacing w:val="-3"/>
          <w:sz w:val="21"/>
        </w:rPr>
        <w:t>天内，将应支付款支付给承包人。</w:t>
      </w:r>
      <w:r>
        <w:rPr>
          <w:color w:val="auto"/>
          <w:spacing w:val="-5"/>
          <w:sz w:val="21"/>
        </w:rPr>
        <w:t xml:space="preserve">发包人不按期支付的，按第 </w:t>
      </w:r>
      <w:r>
        <w:rPr>
          <w:rFonts w:ascii="Times New Roman" w:eastAsia="Times New Roman"/>
          <w:color w:val="auto"/>
          <w:sz w:val="21"/>
        </w:rPr>
        <w:t>17.3.4</w:t>
      </w:r>
      <w:r>
        <w:rPr>
          <w:color w:val="auto"/>
          <w:sz w:val="21"/>
        </w:rPr>
        <w:t>（</w:t>
      </w:r>
      <w:r>
        <w:rPr>
          <w:rFonts w:ascii="Times New Roman" w:eastAsia="Times New Roman"/>
          <w:color w:val="auto"/>
          <w:sz w:val="21"/>
        </w:rPr>
        <w:t>2</w:t>
      </w:r>
      <w:r>
        <w:rPr>
          <w:color w:val="auto"/>
          <w:sz w:val="21"/>
        </w:rPr>
        <w:t>）</w:t>
      </w:r>
      <w:r>
        <w:rPr>
          <w:color w:val="auto"/>
          <w:spacing w:val="-3"/>
          <w:sz w:val="21"/>
        </w:rPr>
        <w:t>目的约定，将逾期付款违约金支付给承包人。</w:t>
      </w:r>
    </w:p>
    <w:p>
      <w:pPr>
        <w:pStyle w:val="44"/>
        <w:numPr>
          <w:ilvl w:val="0"/>
          <w:numId w:val="48"/>
        </w:numPr>
        <w:tabs>
          <w:tab w:val="left" w:pos="1163"/>
        </w:tabs>
        <w:spacing w:line="269" w:lineRule="exact"/>
        <w:ind w:hanging="530"/>
        <w:jc w:val="both"/>
        <w:rPr>
          <w:color w:val="auto"/>
          <w:sz w:val="21"/>
        </w:rPr>
      </w:pPr>
      <w:r>
        <w:rPr>
          <w:color w:val="auto"/>
          <w:spacing w:val="-6"/>
          <w:sz w:val="21"/>
        </w:rPr>
        <w:t xml:space="preserve">承包人对发包人签认的最终结清证书有异议的，按第 </w:t>
      </w:r>
      <w:r>
        <w:rPr>
          <w:rFonts w:ascii="Times New Roman" w:eastAsia="Times New Roman"/>
          <w:color w:val="auto"/>
          <w:sz w:val="21"/>
        </w:rPr>
        <w:t>24</w:t>
      </w:r>
      <w:r>
        <w:rPr>
          <w:rFonts w:ascii="Times New Roman" w:eastAsia="Times New Roman"/>
          <w:color w:val="auto"/>
          <w:spacing w:val="-2"/>
          <w:sz w:val="21"/>
        </w:rPr>
        <w:t xml:space="preserve"> </w:t>
      </w:r>
      <w:r>
        <w:rPr>
          <w:color w:val="auto"/>
          <w:spacing w:val="-3"/>
          <w:sz w:val="21"/>
        </w:rPr>
        <w:t>条的约定执行。</w:t>
      </w:r>
    </w:p>
    <w:p>
      <w:pPr>
        <w:pStyle w:val="8"/>
        <w:spacing w:before="6"/>
        <w:rPr>
          <w:color w:val="auto"/>
          <w:sz w:val="15"/>
        </w:rPr>
      </w:pPr>
    </w:p>
    <w:p>
      <w:pPr>
        <w:pStyle w:val="44"/>
        <w:numPr>
          <w:ilvl w:val="0"/>
          <w:numId w:val="48"/>
        </w:numPr>
        <w:tabs>
          <w:tab w:val="left" w:pos="1163"/>
        </w:tabs>
        <w:ind w:hanging="530"/>
        <w:jc w:val="both"/>
        <w:rPr>
          <w:color w:val="auto"/>
          <w:sz w:val="21"/>
        </w:rPr>
      </w:pPr>
      <w:r>
        <w:rPr>
          <w:color w:val="auto"/>
          <w:spacing w:val="-6"/>
          <w:sz w:val="21"/>
        </w:rPr>
        <w:t xml:space="preserve">最终结清付款涉及政府投资资金的，按第 </w:t>
      </w:r>
      <w:r>
        <w:rPr>
          <w:rFonts w:ascii="Times New Roman" w:eastAsia="Times New Roman"/>
          <w:color w:val="auto"/>
          <w:sz w:val="21"/>
        </w:rPr>
        <w:t>17.3.4</w:t>
      </w:r>
      <w:r>
        <w:rPr>
          <w:color w:val="auto"/>
          <w:sz w:val="21"/>
        </w:rPr>
        <w:t>（</w:t>
      </w:r>
      <w:r>
        <w:rPr>
          <w:rFonts w:ascii="Times New Roman" w:eastAsia="Times New Roman"/>
          <w:color w:val="auto"/>
          <w:sz w:val="21"/>
        </w:rPr>
        <w:t>4</w:t>
      </w:r>
      <w:r>
        <w:rPr>
          <w:color w:val="auto"/>
          <w:sz w:val="21"/>
        </w:rPr>
        <w:t>）</w:t>
      </w:r>
      <w:r>
        <w:rPr>
          <w:color w:val="auto"/>
          <w:spacing w:val="-3"/>
          <w:sz w:val="21"/>
        </w:rPr>
        <w:t>目的约定执行。</w:t>
      </w:r>
      <w:r>
        <w:rPr>
          <w:color w:val="auto"/>
          <w:sz w:val="21"/>
        </w:rPr>
        <w:t xml:space="preserve"> </w:t>
      </w:r>
    </w:p>
    <w:p>
      <w:pPr>
        <w:pStyle w:val="8"/>
        <w:rPr>
          <w:color w:val="auto"/>
          <w:sz w:val="22"/>
        </w:rPr>
      </w:pPr>
    </w:p>
    <w:p>
      <w:pPr>
        <w:pStyle w:val="37"/>
        <w:numPr>
          <w:ilvl w:val="0"/>
          <w:numId w:val="22"/>
        </w:numPr>
        <w:tabs>
          <w:tab w:val="left" w:pos="828"/>
        </w:tabs>
        <w:spacing w:before="185"/>
        <w:ind w:left="827" w:hanging="616"/>
        <w:rPr>
          <w:rFonts w:ascii="Cambria" w:eastAsia="Cambria"/>
          <w:color w:val="auto"/>
        </w:rPr>
      </w:pPr>
      <w:bookmarkStart w:id="211" w:name="18._竣工试验和竣工验收"/>
      <w:bookmarkEnd w:id="211"/>
      <w:r>
        <w:rPr>
          <w:color w:val="auto"/>
        </w:rPr>
        <w:t>竣工试验和竣工验收</w:t>
      </w:r>
    </w:p>
    <w:p>
      <w:pPr>
        <w:pStyle w:val="8"/>
        <w:spacing w:before="9"/>
        <w:rPr>
          <w:b/>
          <w:color w:val="auto"/>
          <w:sz w:val="34"/>
        </w:rPr>
      </w:pPr>
    </w:p>
    <w:p>
      <w:pPr>
        <w:pStyle w:val="41"/>
        <w:numPr>
          <w:ilvl w:val="1"/>
          <w:numId w:val="22"/>
        </w:numPr>
        <w:tabs>
          <w:tab w:val="left" w:pos="754"/>
        </w:tabs>
        <w:ind w:hanging="542"/>
        <w:rPr>
          <w:rFonts w:ascii="Times New Roman" w:eastAsia="Times New Roman"/>
          <w:color w:val="auto"/>
        </w:rPr>
      </w:pPr>
      <w:bookmarkStart w:id="212" w:name="18.1_竣工试验"/>
      <w:bookmarkEnd w:id="212"/>
      <w:r>
        <w:rPr>
          <w:color w:val="auto"/>
        </w:rPr>
        <w:t>竣工试验</w:t>
      </w:r>
    </w:p>
    <w:p>
      <w:pPr>
        <w:pStyle w:val="44"/>
        <w:numPr>
          <w:ilvl w:val="2"/>
          <w:numId w:val="22"/>
        </w:numPr>
        <w:tabs>
          <w:tab w:val="left" w:pos="1212"/>
        </w:tabs>
        <w:spacing w:before="181"/>
        <w:ind w:left="1211" w:hanging="579"/>
        <w:rPr>
          <w:rFonts w:ascii="Times New Roman" w:eastAsia="Times New Roman"/>
          <w:color w:val="auto"/>
          <w:sz w:val="21"/>
        </w:rPr>
      </w:pPr>
      <w:r>
        <w:rPr>
          <w:color w:val="auto"/>
          <w:spacing w:val="-11"/>
          <w:sz w:val="21"/>
        </w:rPr>
        <w:t xml:space="preserve">承包人按照第 </w:t>
      </w:r>
      <w:r>
        <w:rPr>
          <w:rFonts w:ascii="Times New Roman" w:eastAsia="Times New Roman"/>
          <w:color w:val="auto"/>
          <w:sz w:val="21"/>
        </w:rPr>
        <w:t>5.5</w:t>
      </w:r>
      <w:r>
        <w:rPr>
          <w:rFonts w:ascii="Times New Roman" w:eastAsia="Times New Roman"/>
          <w:color w:val="auto"/>
          <w:spacing w:val="-3"/>
          <w:sz w:val="21"/>
        </w:rPr>
        <w:t xml:space="preserve"> </w:t>
      </w:r>
      <w:r>
        <w:rPr>
          <w:color w:val="auto"/>
          <w:spacing w:val="-15"/>
          <w:sz w:val="21"/>
        </w:rPr>
        <w:t xml:space="preserve">款和第 </w:t>
      </w:r>
      <w:r>
        <w:rPr>
          <w:rFonts w:ascii="Times New Roman" w:eastAsia="Times New Roman"/>
          <w:color w:val="auto"/>
          <w:sz w:val="21"/>
        </w:rPr>
        <w:t xml:space="preserve">5.6 </w:t>
      </w:r>
      <w:r>
        <w:rPr>
          <w:color w:val="auto"/>
          <w:spacing w:val="-3"/>
          <w:sz w:val="21"/>
        </w:rPr>
        <w:t>款提交文件后，进行竣工试验。</w:t>
      </w:r>
    </w:p>
    <w:p>
      <w:pPr>
        <w:pStyle w:val="8"/>
        <w:spacing w:before="7"/>
        <w:rPr>
          <w:color w:val="auto"/>
          <w:sz w:val="15"/>
        </w:rPr>
      </w:pPr>
    </w:p>
    <w:p>
      <w:pPr>
        <w:pStyle w:val="44"/>
        <w:numPr>
          <w:ilvl w:val="2"/>
          <w:numId w:val="22"/>
        </w:numPr>
        <w:tabs>
          <w:tab w:val="left" w:pos="1212"/>
        </w:tabs>
        <w:spacing w:line="417" w:lineRule="auto"/>
        <w:ind w:left="212" w:right="323" w:firstLine="420"/>
        <w:rPr>
          <w:rFonts w:ascii="Times New Roman" w:eastAsia="Times New Roman"/>
          <w:color w:val="auto"/>
          <w:sz w:val="21"/>
        </w:rPr>
      </w:pPr>
      <w:r>
        <w:rPr>
          <w:color w:val="auto"/>
          <w:spacing w:val="-9"/>
          <w:sz w:val="21"/>
        </w:rPr>
        <w:t xml:space="preserve">承包人应提前 </w:t>
      </w:r>
      <w:r>
        <w:rPr>
          <w:rFonts w:ascii="Times New Roman" w:eastAsia="Times New Roman"/>
          <w:color w:val="auto"/>
          <w:sz w:val="21"/>
        </w:rPr>
        <w:t>21</w:t>
      </w:r>
      <w:r>
        <w:rPr>
          <w:rFonts w:ascii="Times New Roman" w:eastAsia="Times New Roman"/>
          <w:color w:val="auto"/>
          <w:spacing w:val="7"/>
          <w:sz w:val="21"/>
        </w:rPr>
        <w:t xml:space="preserve"> </w:t>
      </w:r>
      <w:r>
        <w:rPr>
          <w:color w:val="auto"/>
          <w:spacing w:val="-9"/>
          <w:sz w:val="21"/>
        </w:rPr>
        <w:t xml:space="preserve">天将可以开始进行竣工试验的日期通知监理人，监理人应在该日期后 </w:t>
      </w:r>
      <w:r>
        <w:rPr>
          <w:color w:val="auto"/>
          <w:sz w:val="21"/>
        </w:rPr>
        <w:t>14</w:t>
      </w:r>
      <w:r>
        <w:rPr>
          <w:color w:val="auto"/>
          <w:spacing w:val="-12"/>
          <w:sz w:val="21"/>
        </w:rPr>
        <w:t xml:space="preserve"> 天内， </w:t>
      </w:r>
      <w:r>
        <w:rPr>
          <w:color w:val="auto"/>
          <w:spacing w:val="-6"/>
          <w:sz w:val="21"/>
        </w:rPr>
        <w:t xml:space="preserve">确定竣工试验具体时间。除专用合同条款中另有约定外，竣工试验应按下述顺序进行： </w:t>
      </w:r>
    </w:p>
    <w:p>
      <w:pPr>
        <w:spacing w:line="417" w:lineRule="auto"/>
        <w:rPr>
          <w:rFonts w:ascii="Times New Roman" w:eastAsia="Times New Roman"/>
          <w:color w:val="auto"/>
          <w:sz w:val="21"/>
        </w:rPr>
        <w:sectPr>
          <w:pgSz w:w="11910" w:h="16840"/>
          <w:pgMar w:top="1560" w:right="700" w:bottom="1180" w:left="920" w:header="0" w:footer="995" w:gutter="0"/>
          <w:cols w:space="720" w:num="1"/>
        </w:sectPr>
      </w:pPr>
    </w:p>
    <w:p>
      <w:pPr>
        <w:pStyle w:val="44"/>
        <w:numPr>
          <w:ilvl w:val="0"/>
          <w:numId w:val="49"/>
        </w:numPr>
        <w:tabs>
          <w:tab w:val="left" w:pos="1165"/>
        </w:tabs>
        <w:spacing w:before="65" w:line="417" w:lineRule="auto"/>
        <w:ind w:right="436" w:firstLine="420"/>
        <w:rPr>
          <w:rFonts w:ascii="Times New Roman" w:eastAsia="Times New Roman"/>
          <w:color w:val="auto"/>
          <w:sz w:val="21"/>
        </w:rPr>
      </w:pPr>
      <w:r>
        <w:rPr>
          <w:color w:val="auto"/>
          <w:spacing w:val="-1"/>
          <w:sz w:val="21"/>
        </w:rPr>
        <w:t>第一阶段，承包人进行适当的检查和功能性试验，保证每一项工程设备都满足合同要求，并能</w:t>
      </w:r>
      <w:r>
        <w:rPr>
          <w:color w:val="auto"/>
          <w:spacing w:val="-3"/>
          <w:sz w:val="21"/>
        </w:rPr>
        <w:t>安全地进入下一阶段试验</w:t>
      </w:r>
      <w:r>
        <w:rPr>
          <w:rFonts w:ascii="Times New Roman" w:eastAsia="Times New Roman"/>
          <w:color w:val="auto"/>
          <w:sz w:val="21"/>
        </w:rPr>
        <w:t>;</w:t>
      </w:r>
    </w:p>
    <w:p>
      <w:pPr>
        <w:pStyle w:val="44"/>
        <w:numPr>
          <w:ilvl w:val="0"/>
          <w:numId w:val="49"/>
        </w:numPr>
        <w:tabs>
          <w:tab w:val="left" w:pos="1165"/>
        </w:tabs>
        <w:spacing w:line="417" w:lineRule="auto"/>
        <w:ind w:right="436" w:firstLine="420"/>
        <w:rPr>
          <w:color w:val="auto"/>
          <w:sz w:val="21"/>
        </w:rPr>
      </w:pPr>
      <w:r>
        <w:rPr>
          <w:color w:val="auto"/>
          <w:spacing w:val="-1"/>
          <w:sz w:val="21"/>
        </w:rPr>
        <w:t>第二阶段，承包人进行试验，保证工程或区段工程满足合同要求，在所有可利用的操作条件下安全运行；</w:t>
      </w:r>
    </w:p>
    <w:p>
      <w:pPr>
        <w:pStyle w:val="44"/>
        <w:numPr>
          <w:ilvl w:val="0"/>
          <w:numId w:val="49"/>
        </w:numPr>
        <w:tabs>
          <w:tab w:val="left" w:pos="1165"/>
        </w:tabs>
        <w:spacing w:line="417" w:lineRule="auto"/>
        <w:ind w:right="435" w:firstLine="420"/>
        <w:rPr>
          <w:color w:val="auto"/>
          <w:sz w:val="21"/>
        </w:rPr>
      </w:pPr>
      <w:r>
        <w:rPr>
          <w:color w:val="auto"/>
          <w:spacing w:val="-1"/>
          <w:sz w:val="21"/>
        </w:rPr>
        <w:t>第三阶段，当工程能安全运行时，承包人应通知监理人，可以进行其他竣工试验，包括各种性</w:t>
      </w:r>
      <w:r>
        <w:rPr>
          <w:color w:val="auto"/>
          <w:spacing w:val="-3"/>
          <w:sz w:val="21"/>
        </w:rPr>
        <w:t>能测试，以证明工程符合发包人要求中列明的性能保证指标。</w:t>
      </w:r>
    </w:p>
    <w:p>
      <w:pPr>
        <w:pStyle w:val="44"/>
        <w:numPr>
          <w:ilvl w:val="2"/>
          <w:numId w:val="22"/>
        </w:numPr>
        <w:tabs>
          <w:tab w:val="left" w:pos="1265"/>
        </w:tabs>
        <w:spacing w:line="417" w:lineRule="auto"/>
        <w:ind w:left="212" w:right="320" w:firstLine="420"/>
        <w:rPr>
          <w:rFonts w:ascii="Times New Roman" w:eastAsia="Times New Roman"/>
          <w:color w:val="auto"/>
          <w:sz w:val="21"/>
        </w:rPr>
      </w:pPr>
      <w:r>
        <w:rPr>
          <w:color w:val="auto"/>
          <w:spacing w:val="-9"/>
          <w:sz w:val="21"/>
        </w:rPr>
        <w:t>承包人应按合同约定进行工程及工程设备试运行。试运行所需人员、设备、材料、燃料、电力、</w:t>
      </w:r>
      <w:r>
        <w:rPr>
          <w:color w:val="auto"/>
          <w:spacing w:val="-5"/>
          <w:sz w:val="21"/>
        </w:rPr>
        <w:t>消耗品、工具等必要的条件以及试运行费用等由专用合同条款规定。</w:t>
      </w:r>
    </w:p>
    <w:p>
      <w:pPr>
        <w:pStyle w:val="44"/>
        <w:numPr>
          <w:ilvl w:val="2"/>
          <w:numId w:val="22"/>
        </w:numPr>
        <w:tabs>
          <w:tab w:val="left" w:pos="1163"/>
        </w:tabs>
        <w:ind w:left="1162" w:hanging="530"/>
        <w:rPr>
          <w:rFonts w:ascii="Times New Roman" w:eastAsia="Times New Roman"/>
          <w:color w:val="auto"/>
          <w:sz w:val="19"/>
        </w:rPr>
      </w:pPr>
      <w:r>
        <w:rPr>
          <w:color w:val="auto"/>
          <w:spacing w:val="-14"/>
          <w:sz w:val="21"/>
        </w:rPr>
        <w:t>某项竣工试验未能通过的，承包人应按照监理人的指示限期改正，并承担合同约定的相应责任。</w:t>
      </w:r>
      <w:r>
        <w:rPr>
          <w:color w:val="auto"/>
          <w:sz w:val="21"/>
        </w:rPr>
        <w:t xml:space="preserve"> </w:t>
      </w:r>
    </w:p>
    <w:p>
      <w:pPr>
        <w:pStyle w:val="41"/>
        <w:numPr>
          <w:ilvl w:val="1"/>
          <w:numId w:val="22"/>
        </w:numPr>
        <w:tabs>
          <w:tab w:val="left" w:pos="754"/>
        </w:tabs>
        <w:spacing w:before="178"/>
        <w:ind w:hanging="542"/>
        <w:rPr>
          <w:rFonts w:ascii="Times New Roman" w:eastAsia="Times New Roman"/>
          <w:color w:val="auto"/>
        </w:rPr>
      </w:pPr>
      <w:bookmarkStart w:id="213" w:name="18.2_竣工验收申请报告"/>
      <w:bookmarkEnd w:id="213"/>
      <w:r>
        <w:rPr>
          <w:color w:val="auto"/>
        </w:rPr>
        <w:t>竣工验收申请报告</w:t>
      </w:r>
    </w:p>
    <w:p>
      <w:pPr>
        <w:pStyle w:val="8"/>
        <w:spacing w:before="181"/>
        <w:ind w:left="633"/>
        <w:rPr>
          <w:color w:val="auto"/>
        </w:rPr>
      </w:pPr>
      <w:r>
        <w:rPr>
          <w:color w:val="auto"/>
        </w:rPr>
        <w:t>当工程具备以下条件时，承包人即可向监理人报送竣工验收申请报告：</w:t>
      </w:r>
    </w:p>
    <w:p>
      <w:pPr>
        <w:pStyle w:val="8"/>
        <w:spacing w:before="7"/>
        <w:rPr>
          <w:color w:val="auto"/>
          <w:sz w:val="15"/>
        </w:rPr>
      </w:pPr>
    </w:p>
    <w:p>
      <w:pPr>
        <w:pStyle w:val="44"/>
        <w:numPr>
          <w:ilvl w:val="0"/>
          <w:numId w:val="50"/>
        </w:numPr>
        <w:tabs>
          <w:tab w:val="left" w:pos="1165"/>
        </w:tabs>
        <w:spacing w:line="417" w:lineRule="auto"/>
        <w:ind w:right="436" w:firstLine="420"/>
        <w:rPr>
          <w:color w:val="auto"/>
          <w:sz w:val="21"/>
        </w:rPr>
      </w:pPr>
      <w:r>
        <w:rPr>
          <w:color w:val="auto"/>
          <w:sz w:val="21"/>
        </w:rPr>
        <w:t>除监理人同意列入缺陷责任期内完成的尾工（甩项）</w:t>
      </w:r>
      <w:r>
        <w:rPr>
          <w:color w:val="auto"/>
          <w:spacing w:val="-1"/>
          <w:sz w:val="21"/>
        </w:rPr>
        <w:t>工程和缺陷修补工作外，合同范围内的全</w:t>
      </w:r>
      <w:r>
        <w:rPr>
          <w:color w:val="auto"/>
          <w:spacing w:val="-3"/>
          <w:sz w:val="21"/>
        </w:rPr>
        <w:t>部区段工程以及有关工作，包括合同要求的试验和竣工试验均已完成，并符合合同要求；</w:t>
      </w:r>
    </w:p>
    <w:p>
      <w:pPr>
        <w:pStyle w:val="44"/>
        <w:numPr>
          <w:ilvl w:val="0"/>
          <w:numId w:val="50"/>
        </w:numPr>
        <w:tabs>
          <w:tab w:val="left" w:pos="1163"/>
        </w:tabs>
        <w:spacing w:line="269" w:lineRule="exact"/>
        <w:ind w:left="1162" w:hanging="530"/>
        <w:rPr>
          <w:color w:val="auto"/>
          <w:sz w:val="21"/>
        </w:rPr>
      </w:pPr>
      <w:r>
        <w:rPr>
          <w:color w:val="auto"/>
          <w:spacing w:val="-3"/>
          <w:sz w:val="21"/>
        </w:rPr>
        <w:t>已按合同约定的内容和份数备齐了符合要求的竣工文件；</w:t>
      </w:r>
    </w:p>
    <w:p>
      <w:pPr>
        <w:pStyle w:val="8"/>
        <w:spacing w:before="6"/>
        <w:rPr>
          <w:color w:val="auto"/>
          <w:sz w:val="15"/>
        </w:rPr>
      </w:pPr>
    </w:p>
    <w:p>
      <w:pPr>
        <w:pStyle w:val="44"/>
        <w:numPr>
          <w:ilvl w:val="0"/>
          <w:numId w:val="50"/>
        </w:numPr>
        <w:tabs>
          <w:tab w:val="left" w:pos="1165"/>
        </w:tabs>
        <w:spacing w:line="417" w:lineRule="auto"/>
        <w:ind w:right="434" w:firstLine="420"/>
        <w:rPr>
          <w:color w:val="auto"/>
          <w:sz w:val="21"/>
        </w:rPr>
      </w:pPr>
      <w:r>
        <w:rPr>
          <w:color w:val="auto"/>
          <w:sz w:val="21"/>
        </w:rPr>
        <w:t>已按监理人的要求编制了在缺陷责任期内完成的尾工（甩项）</w:t>
      </w:r>
      <w:r>
        <w:rPr>
          <w:color w:val="auto"/>
          <w:spacing w:val="-1"/>
          <w:sz w:val="21"/>
        </w:rPr>
        <w:t>工程和缺陷修补工作清单以及相</w:t>
      </w:r>
      <w:r>
        <w:rPr>
          <w:color w:val="auto"/>
          <w:spacing w:val="-2"/>
          <w:sz w:val="21"/>
        </w:rPr>
        <w:t>应施工计划；</w:t>
      </w:r>
    </w:p>
    <w:p>
      <w:pPr>
        <w:pStyle w:val="44"/>
        <w:numPr>
          <w:ilvl w:val="0"/>
          <w:numId w:val="50"/>
        </w:numPr>
        <w:tabs>
          <w:tab w:val="left" w:pos="1163"/>
        </w:tabs>
        <w:spacing w:before="1"/>
        <w:ind w:left="1162" w:hanging="530"/>
        <w:rPr>
          <w:color w:val="auto"/>
          <w:sz w:val="21"/>
        </w:rPr>
      </w:pPr>
      <w:r>
        <w:rPr>
          <w:color w:val="auto"/>
          <w:spacing w:val="-3"/>
          <w:sz w:val="21"/>
        </w:rPr>
        <w:t>监理人要求在竣工验收前应完成的其他工作；</w:t>
      </w:r>
    </w:p>
    <w:p>
      <w:pPr>
        <w:pStyle w:val="8"/>
        <w:spacing w:before="6"/>
        <w:rPr>
          <w:color w:val="auto"/>
          <w:sz w:val="15"/>
        </w:rPr>
      </w:pPr>
    </w:p>
    <w:p>
      <w:pPr>
        <w:pStyle w:val="44"/>
        <w:numPr>
          <w:ilvl w:val="0"/>
          <w:numId w:val="50"/>
        </w:numPr>
        <w:tabs>
          <w:tab w:val="left" w:pos="1163"/>
        </w:tabs>
        <w:ind w:left="1162" w:hanging="530"/>
        <w:rPr>
          <w:color w:val="auto"/>
          <w:sz w:val="21"/>
        </w:rPr>
      </w:pPr>
      <w:r>
        <w:rPr>
          <w:color w:val="auto"/>
          <w:spacing w:val="-3"/>
          <w:sz w:val="21"/>
        </w:rPr>
        <w:t>监理人要求提交的竣工验收资料清单。</w:t>
      </w:r>
    </w:p>
    <w:p>
      <w:pPr>
        <w:pStyle w:val="41"/>
        <w:numPr>
          <w:ilvl w:val="1"/>
          <w:numId w:val="22"/>
        </w:numPr>
        <w:tabs>
          <w:tab w:val="left" w:pos="754"/>
        </w:tabs>
        <w:spacing w:before="179"/>
        <w:ind w:hanging="542"/>
        <w:rPr>
          <w:rFonts w:ascii="Times New Roman" w:eastAsia="Times New Roman"/>
          <w:color w:val="auto"/>
        </w:rPr>
      </w:pPr>
      <w:bookmarkStart w:id="214" w:name="18.3_竣工验收"/>
      <w:bookmarkEnd w:id="214"/>
      <w:r>
        <w:rPr>
          <w:color w:val="auto"/>
        </w:rPr>
        <w:t>竣工验收</w:t>
      </w:r>
    </w:p>
    <w:p>
      <w:pPr>
        <w:pStyle w:val="8"/>
        <w:spacing w:before="181" w:line="417" w:lineRule="auto"/>
        <w:ind w:left="212" w:right="429" w:firstLine="420"/>
        <w:jc w:val="both"/>
        <w:rPr>
          <w:color w:val="auto"/>
        </w:rPr>
      </w:pPr>
      <w:r>
        <w:rPr>
          <w:color w:val="auto"/>
        </w:rPr>
        <w:t xml:space="preserve">监理人收到承包人按第 </w:t>
      </w:r>
      <w:r>
        <w:rPr>
          <w:rFonts w:ascii="Times New Roman" w:eastAsia="Times New Roman"/>
          <w:color w:val="auto"/>
        </w:rPr>
        <w:t xml:space="preserve">18.2 </w:t>
      </w:r>
      <w:r>
        <w:rPr>
          <w:color w:val="auto"/>
        </w:rPr>
        <w:t xml:space="preserve">款约定提交的竣工验收申请报告后，应审查申请报告的各项内容，并按以下不同情况进行处理。 </w:t>
      </w:r>
    </w:p>
    <w:p>
      <w:pPr>
        <w:pStyle w:val="44"/>
        <w:numPr>
          <w:ilvl w:val="2"/>
          <w:numId w:val="22"/>
        </w:numPr>
        <w:tabs>
          <w:tab w:val="left" w:pos="1163"/>
        </w:tabs>
        <w:spacing w:line="417" w:lineRule="auto"/>
        <w:ind w:left="212" w:right="322" w:firstLine="420"/>
        <w:jc w:val="both"/>
        <w:rPr>
          <w:rFonts w:ascii="Times New Roman" w:eastAsia="Times New Roman"/>
          <w:color w:val="auto"/>
          <w:sz w:val="19"/>
        </w:rPr>
      </w:pPr>
      <w:r>
        <w:rPr>
          <w:color w:val="auto"/>
          <w:spacing w:val="-3"/>
          <w:sz w:val="21"/>
        </w:rPr>
        <w:t xml:space="preserve">监理人审查后认为尚不具备竣工验收条件的，应在收到竣工验收申请报告后的 </w:t>
      </w:r>
      <w:r>
        <w:rPr>
          <w:color w:val="auto"/>
          <w:sz w:val="21"/>
        </w:rPr>
        <w:t>28</w:t>
      </w:r>
      <w:r>
        <w:rPr>
          <w:color w:val="auto"/>
          <w:spacing w:val="-1"/>
          <w:sz w:val="21"/>
        </w:rPr>
        <w:t xml:space="preserve"> 天内通知承包</w:t>
      </w:r>
      <w:r>
        <w:rPr>
          <w:color w:val="auto"/>
          <w:spacing w:val="-6"/>
          <w:sz w:val="21"/>
        </w:rPr>
        <w:t>人，指出在颁发接收证书前承包人还需进行的工作内容。承包人完成监理人通知的全部工作内容后，应再</w:t>
      </w:r>
      <w:r>
        <w:rPr>
          <w:color w:val="auto"/>
          <w:spacing w:val="-8"/>
          <w:sz w:val="21"/>
        </w:rPr>
        <w:t xml:space="preserve">次提交竣工验收申请报告，直至监理人同意为止。监理人收到竣工验收申请报告后 </w:t>
      </w:r>
      <w:r>
        <w:rPr>
          <w:color w:val="auto"/>
          <w:sz w:val="21"/>
        </w:rPr>
        <w:t>28</w:t>
      </w:r>
      <w:r>
        <w:rPr>
          <w:color w:val="auto"/>
          <w:spacing w:val="-8"/>
          <w:sz w:val="21"/>
        </w:rPr>
        <w:t xml:space="preserve"> 天内不予答复的，</w:t>
      </w:r>
    </w:p>
    <w:p>
      <w:pPr>
        <w:pStyle w:val="8"/>
        <w:ind w:left="212"/>
        <w:jc w:val="both"/>
        <w:rPr>
          <w:color w:val="auto"/>
        </w:rPr>
      </w:pPr>
      <w:r>
        <w:rPr>
          <w:color w:val="auto"/>
        </w:rPr>
        <w:t xml:space="preserve">视为同意承包人的竣工验收申请，并应在收到该竣工验收申请报告后 28 天内提请发包人进行竣工验收。 </w:t>
      </w:r>
    </w:p>
    <w:p>
      <w:pPr>
        <w:pStyle w:val="8"/>
        <w:spacing w:before="6"/>
        <w:rPr>
          <w:color w:val="auto"/>
          <w:sz w:val="15"/>
        </w:rPr>
      </w:pPr>
    </w:p>
    <w:p>
      <w:pPr>
        <w:pStyle w:val="44"/>
        <w:numPr>
          <w:ilvl w:val="2"/>
          <w:numId w:val="22"/>
        </w:numPr>
        <w:tabs>
          <w:tab w:val="left" w:pos="1265"/>
        </w:tabs>
        <w:spacing w:line="417" w:lineRule="auto"/>
        <w:ind w:left="212" w:right="426" w:firstLine="420"/>
        <w:jc w:val="both"/>
        <w:rPr>
          <w:rFonts w:ascii="Times New Roman" w:eastAsia="Times New Roman"/>
          <w:color w:val="auto"/>
          <w:sz w:val="21"/>
        </w:rPr>
      </w:pPr>
      <w:r>
        <w:rPr>
          <w:color w:val="auto"/>
          <w:spacing w:val="-3"/>
          <w:sz w:val="21"/>
        </w:rPr>
        <w:t xml:space="preserve">监理人同意承包人提交的竣工验收申请报告的，应在收到该竣工验收申请报告后的 </w:t>
      </w:r>
      <w:r>
        <w:rPr>
          <w:color w:val="auto"/>
          <w:sz w:val="21"/>
        </w:rPr>
        <w:t>28 天内提</w:t>
      </w:r>
      <w:r>
        <w:rPr>
          <w:color w:val="auto"/>
          <w:spacing w:val="-3"/>
          <w:sz w:val="21"/>
        </w:rPr>
        <w:t>请发包人进行工程验收。</w:t>
      </w:r>
      <w:r>
        <w:rPr>
          <w:color w:val="auto"/>
          <w:sz w:val="21"/>
        </w:rPr>
        <w:t xml:space="preserve">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3"/>
          <w:sz w:val="21"/>
        </w:rPr>
        <w:t xml:space="preserve">发包人经过验收后同意接受工程的，应在监理人收到竣工验收申请报告后的 </w:t>
      </w:r>
      <w:r>
        <w:rPr>
          <w:color w:val="auto"/>
          <w:sz w:val="21"/>
        </w:rPr>
        <w:t>56</w:t>
      </w:r>
      <w:r>
        <w:rPr>
          <w:color w:val="auto"/>
          <w:spacing w:val="-3"/>
          <w:sz w:val="21"/>
        </w:rPr>
        <w:t xml:space="preserve"> 天内，由监理</w:t>
      </w:r>
      <w:r>
        <w:rPr>
          <w:color w:val="auto"/>
          <w:spacing w:val="-5"/>
          <w:sz w:val="21"/>
        </w:rPr>
        <w:t>人向承包人出具经发包人签认的工程接收证书。发包人验收后同意接收工程但提出整修和完善要求的，限</w:t>
      </w:r>
    </w:p>
    <w:p>
      <w:pPr>
        <w:spacing w:line="417" w:lineRule="auto"/>
        <w:jc w:val="both"/>
        <w:rPr>
          <w:rFonts w:ascii="Times New Roman" w:eastAsia="Times New Roman"/>
          <w:color w:val="auto"/>
          <w:sz w:val="19"/>
        </w:rPr>
        <w:sectPr>
          <w:pgSz w:w="11910" w:h="16840"/>
          <w:pgMar w:top="1540" w:right="700" w:bottom="1180" w:left="920" w:header="0" w:footer="995" w:gutter="0"/>
          <w:cols w:space="720" w:num="1"/>
        </w:sectPr>
      </w:pPr>
    </w:p>
    <w:p>
      <w:pPr>
        <w:pStyle w:val="8"/>
        <w:spacing w:before="45" w:line="417" w:lineRule="auto"/>
        <w:ind w:left="212" w:right="426"/>
        <w:rPr>
          <w:color w:val="auto"/>
        </w:rPr>
      </w:pPr>
      <w:r>
        <w:rPr>
          <w:color w:val="auto"/>
          <w:spacing w:val="-7"/>
        </w:rPr>
        <w:t>期修好，并缓发工程接收证书。整修和完善工作完成后，监理人复查达到要求的，经发包人同意后，再向</w:t>
      </w:r>
      <w:r>
        <w:rPr>
          <w:color w:val="auto"/>
          <w:spacing w:val="-5"/>
        </w:rPr>
        <w:t xml:space="preserve">承包人出具工程接收证书。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5"/>
          <w:sz w:val="21"/>
        </w:rPr>
        <w:t>发包人验收后不同意接收工程的，监理人应按照发包人的验收意见发出指示，要求承包人对不</w:t>
      </w:r>
      <w:r>
        <w:rPr>
          <w:color w:val="auto"/>
          <w:spacing w:val="-6"/>
          <w:sz w:val="21"/>
        </w:rPr>
        <w:t>合格工程认真返工重作或进行补救处理，并承担由此产生的费用。承包人在完成不合格工程的返工重作或</w:t>
      </w:r>
      <w:r>
        <w:rPr>
          <w:color w:val="auto"/>
          <w:spacing w:val="-7"/>
          <w:sz w:val="21"/>
        </w:rPr>
        <w:t xml:space="preserve">补救工作后，应重新提交竣工验收申请报告，按第 </w:t>
      </w:r>
      <w:r>
        <w:rPr>
          <w:rFonts w:ascii="Times New Roman" w:eastAsia="Times New Roman"/>
          <w:color w:val="auto"/>
          <w:sz w:val="21"/>
        </w:rPr>
        <w:t>18.3.1</w:t>
      </w:r>
      <w:r>
        <w:rPr>
          <w:rFonts w:ascii="Times New Roman" w:eastAsia="Times New Roman"/>
          <w:color w:val="auto"/>
          <w:spacing w:val="4"/>
          <w:sz w:val="21"/>
        </w:rPr>
        <w:t xml:space="preserve"> </w:t>
      </w:r>
      <w:r>
        <w:rPr>
          <w:color w:val="auto"/>
          <w:spacing w:val="-14"/>
          <w:sz w:val="21"/>
        </w:rPr>
        <w:t xml:space="preserve">项、第 </w:t>
      </w:r>
      <w:r>
        <w:rPr>
          <w:rFonts w:ascii="Times New Roman" w:eastAsia="Times New Roman"/>
          <w:color w:val="auto"/>
          <w:sz w:val="21"/>
        </w:rPr>
        <w:t>18.3.2</w:t>
      </w:r>
      <w:r>
        <w:rPr>
          <w:rFonts w:ascii="Times New Roman" w:eastAsia="Times New Roman"/>
          <w:color w:val="auto"/>
          <w:spacing w:val="4"/>
          <w:sz w:val="21"/>
        </w:rPr>
        <w:t xml:space="preserve"> </w:t>
      </w:r>
      <w:r>
        <w:rPr>
          <w:color w:val="auto"/>
          <w:spacing w:val="-14"/>
          <w:sz w:val="21"/>
        </w:rPr>
        <w:t xml:space="preserve">项和第 </w:t>
      </w:r>
      <w:r>
        <w:rPr>
          <w:rFonts w:ascii="Times New Roman" w:eastAsia="Times New Roman"/>
          <w:color w:val="auto"/>
          <w:sz w:val="21"/>
        </w:rPr>
        <w:t>18.3.3</w:t>
      </w:r>
      <w:r>
        <w:rPr>
          <w:rFonts w:ascii="Times New Roman" w:eastAsia="Times New Roman"/>
          <w:color w:val="auto"/>
          <w:spacing w:val="4"/>
          <w:sz w:val="21"/>
        </w:rPr>
        <w:t xml:space="preserve"> </w:t>
      </w:r>
      <w:r>
        <w:rPr>
          <w:color w:val="auto"/>
          <w:spacing w:val="-3"/>
          <w:sz w:val="21"/>
        </w:rPr>
        <w:t>项的约定进行。</w:t>
      </w:r>
      <w:r>
        <w:rPr>
          <w:color w:val="auto"/>
          <w:sz w:val="21"/>
        </w:rPr>
        <w:t xml:space="preserve">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5"/>
          <w:sz w:val="21"/>
        </w:rPr>
        <w:t>除专用合同条款另有约定外，经验收合格工程的实际竣工日期，以提交竣工验收申请报告的日</w:t>
      </w:r>
      <w:r>
        <w:rPr>
          <w:color w:val="auto"/>
          <w:spacing w:val="-4"/>
          <w:sz w:val="21"/>
        </w:rPr>
        <w:t xml:space="preserve">期为准，并在工程接收证书中写明。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4"/>
          <w:sz w:val="21"/>
        </w:rPr>
        <w:t xml:space="preserve">发包人在收到承包人竣工验收申请报告 </w:t>
      </w:r>
      <w:r>
        <w:rPr>
          <w:color w:val="auto"/>
          <w:sz w:val="21"/>
        </w:rPr>
        <w:t>56</w:t>
      </w:r>
      <w:r>
        <w:rPr>
          <w:color w:val="auto"/>
          <w:spacing w:val="-3"/>
          <w:sz w:val="21"/>
        </w:rPr>
        <w:t xml:space="preserve"> 天后未进行验收的，视为验收合格，实际竣工日期以提交竣工验收申请报告的日期为准，但发包人由于不可抗力不能进行验收的除外。 </w:t>
      </w:r>
    </w:p>
    <w:p>
      <w:pPr>
        <w:pStyle w:val="41"/>
        <w:numPr>
          <w:ilvl w:val="1"/>
          <w:numId w:val="22"/>
        </w:numPr>
        <w:tabs>
          <w:tab w:val="left" w:pos="754"/>
        </w:tabs>
        <w:spacing w:line="287" w:lineRule="exact"/>
        <w:ind w:hanging="542"/>
        <w:jc w:val="both"/>
        <w:rPr>
          <w:rFonts w:ascii="Times New Roman" w:eastAsia="Times New Roman"/>
          <w:color w:val="auto"/>
        </w:rPr>
      </w:pPr>
      <w:bookmarkStart w:id="215" w:name="18.4_国家验收"/>
      <w:bookmarkEnd w:id="215"/>
      <w:r>
        <w:rPr>
          <w:color w:val="auto"/>
        </w:rPr>
        <w:t>国家验收</w:t>
      </w:r>
    </w:p>
    <w:p>
      <w:pPr>
        <w:pStyle w:val="8"/>
        <w:spacing w:before="180" w:line="417" w:lineRule="auto"/>
        <w:ind w:left="212" w:right="426" w:firstLine="420"/>
        <w:rPr>
          <w:color w:val="auto"/>
        </w:rPr>
      </w:pPr>
      <w:r>
        <w:rPr>
          <w:color w:val="auto"/>
          <w:spacing w:val="-5"/>
        </w:rPr>
        <w:t>需要进行国家验收的，竣工验收是国家验收的一部分。竣工验收所采用的各项验收和评定标准应符合</w:t>
      </w:r>
      <w:r>
        <w:rPr>
          <w:color w:val="auto"/>
          <w:spacing w:val="-4"/>
        </w:rPr>
        <w:t xml:space="preserve">国家验收标准。发包人和承包人为竣工验收提供的各项竣工验收资料应符合国家验收的要求。 </w:t>
      </w:r>
    </w:p>
    <w:p>
      <w:pPr>
        <w:pStyle w:val="41"/>
        <w:numPr>
          <w:ilvl w:val="1"/>
          <w:numId w:val="22"/>
        </w:numPr>
        <w:tabs>
          <w:tab w:val="left" w:pos="754"/>
        </w:tabs>
        <w:spacing w:line="287" w:lineRule="exact"/>
        <w:ind w:hanging="542"/>
        <w:jc w:val="both"/>
        <w:rPr>
          <w:rFonts w:ascii="Times New Roman" w:eastAsia="Times New Roman"/>
          <w:color w:val="auto"/>
        </w:rPr>
      </w:pPr>
      <w:bookmarkStart w:id="216" w:name="18.5_区段工程验收"/>
      <w:bookmarkEnd w:id="216"/>
      <w:r>
        <w:rPr>
          <w:color w:val="auto"/>
        </w:rPr>
        <w:t>区段工程验收</w:t>
      </w:r>
    </w:p>
    <w:p>
      <w:pPr>
        <w:pStyle w:val="44"/>
        <w:numPr>
          <w:ilvl w:val="2"/>
          <w:numId w:val="22"/>
        </w:numPr>
        <w:tabs>
          <w:tab w:val="left" w:pos="1265"/>
        </w:tabs>
        <w:spacing w:before="181" w:line="417" w:lineRule="auto"/>
        <w:ind w:left="212" w:right="426" w:firstLine="420"/>
        <w:jc w:val="both"/>
        <w:rPr>
          <w:rFonts w:ascii="Times New Roman" w:eastAsia="Times New Roman"/>
          <w:color w:val="auto"/>
          <w:sz w:val="21"/>
        </w:rPr>
      </w:pPr>
      <w:r>
        <w:rPr>
          <w:color w:val="auto"/>
          <w:spacing w:val="-5"/>
          <w:sz w:val="21"/>
        </w:rPr>
        <w:t>发包人根据合同进度计划安排，在全部工程竣工前需要使用已经竣工的区段工程时，或承包人</w:t>
      </w:r>
      <w:r>
        <w:rPr>
          <w:color w:val="auto"/>
          <w:spacing w:val="-6"/>
          <w:sz w:val="21"/>
        </w:rPr>
        <w:t xml:space="preserve">提出经发包人同意时，可进行区段工程验收。验收的程序可参照第 </w:t>
      </w:r>
      <w:r>
        <w:rPr>
          <w:rFonts w:ascii="Times New Roman" w:eastAsia="Times New Roman"/>
          <w:color w:val="auto"/>
          <w:sz w:val="21"/>
        </w:rPr>
        <w:t>18.2</w:t>
      </w:r>
      <w:r>
        <w:rPr>
          <w:rFonts w:ascii="Times New Roman" w:eastAsia="Times New Roman"/>
          <w:color w:val="auto"/>
          <w:spacing w:val="17"/>
          <w:sz w:val="21"/>
        </w:rPr>
        <w:t xml:space="preserve"> </w:t>
      </w:r>
      <w:r>
        <w:rPr>
          <w:color w:val="auto"/>
          <w:spacing w:val="-10"/>
          <w:sz w:val="21"/>
        </w:rPr>
        <w:t xml:space="preserve">款与第 </w:t>
      </w:r>
      <w:r>
        <w:rPr>
          <w:rFonts w:ascii="Times New Roman" w:eastAsia="Times New Roman"/>
          <w:color w:val="auto"/>
          <w:sz w:val="21"/>
        </w:rPr>
        <w:t>18.3</w:t>
      </w:r>
      <w:r>
        <w:rPr>
          <w:rFonts w:ascii="Times New Roman" w:eastAsia="Times New Roman"/>
          <w:color w:val="auto"/>
          <w:spacing w:val="16"/>
          <w:sz w:val="21"/>
        </w:rPr>
        <w:t xml:space="preserve"> </w:t>
      </w:r>
      <w:r>
        <w:rPr>
          <w:color w:val="auto"/>
          <w:spacing w:val="-3"/>
          <w:sz w:val="21"/>
        </w:rPr>
        <w:t>款的约定进行。验收</w:t>
      </w:r>
      <w:r>
        <w:rPr>
          <w:color w:val="auto"/>
          <w:spacing w:val="-6"/>
          <w:sz w:val="21"/>
        </w:rPr>
        <w:t>合格后，由监理人向承包人出具经发包人签认的区段工程验收证书。已签发区段工程接收证书的区段工程</w:t>
      </w:r>
      <w:r>
        <w:rPr>
          <w:color w:val="auto"/>
          <w:spacing w:val="-4"/>
          <w:sz w:val="21"/>
        </w:rPr>
        <w:t xml:space="preserve">由发包人负责照管。区段工程的验收成果和结论作为全部工程竣工验收申请报告的附件。 </w:t>
      </w:r>
    </w:p>
    <w:p>
      <w:pPr>
        <w:pStyle w:val="44"/>
        <w:numPr>
          <w:ilvl w:val="2"/>
          <w:numId w:val="22"/>
        </w:numPr>
        <w:tabs>
          <w:tab w:val="left" w:pos="1265"/>
        </w:tabs>
        <w:spacing w:line="417" w:lineRule="auto"/>
        <w:ind w:left="212" w:right="426" w:firstLine="420"/>
        <w:jc w:val="both"/>
        <w:rPr>
          <w:rFonts w:ascii="Times New Roman" w:eastAsia="Times New Roman"/>
          <w:color w:val="auto"/>
          <w:sz w:val="21"/>
        </w:rPr>
      </w:pPr>
      <w:r>
        <w:rPr>
          <w:color w:val="auto"/>
          <w:spacing w:val="-5"/>
          <w:sz w:val="21"/>
        </w:rPr>
        <w:t>发包人在全部工程竣工前，使用已接收的区段工程导致承包人费用增加的，发包人应承担由此</w:t>
      </w:r>
      <w:r>
        <w:rPr>
          <w:color w:val="auto"/>
          <w:spacing w:val="-4"/>
          <w:sz w:val="21"/>
        </w:rPr>
        <w:t>增加的费用和</w:t>
      </w:r>
      <w:r>
        <w:rPr>
          <w:color w:val="auto"/>
          <w:spacing w:val="-3"/>
          <w:sz w:val="21"/>
        </w:rPr>
        <w:t>（</w:t>
      </w:r>
      <w:r>
        <w:rPr>
          <w:color w:val="auto"/>
          <w:sz w:val="21"/>
        </w:rPr>
        <w:t>或</w:t>
      </w:r>
      <w:r>
        <w:rPr>
          <w:color w:val="auto"/>
          <w:spacing w:val="-3"/>
          <w:sz w:val="21"/>
        </w:rPr>
        <w:t xml:space="preserve">）工期延误，并支付承包人合理利润。 </w:t>
      </w:r>
    </w:p>
    <w:p>
      <w:pPr>
        <w:pStyle w:val="41"/>
        <w:numPr>
          <w:ilvl w:val="1"/>
          <w:numId w:val="22"/>
        </w:numPr>
        <w:tabs>
          <w:tab w:val="left" w:pos="754"/>
        </w:tabs>
        <w:spacing w:line="287" w:lineRule="exact"/>
        <w:ind w:hanging="542"/>
        <w:jc w:val="both"/>
        <w:rPr>
          <w:rFonts w:ascii="Times New Roman" w:eastAsia="Times New Roman"/>
          <w:color w:val="auto"/>
        </w:rPr>
      </w:pPr>
      <w:bookmarkStart w:id="217" w:name="18.6_施工期运行"/>
      <w:bookmarkEnd w:id="217"/>
      <w:r>
        <w:rPr>
          <w:color w:val="auto"/>
        </w:rPr>
        <w:t>施工期运行</w:t>
      </w:r>
    </w:p>
    <w:p>
      <w:pPr>
        <w:pStyle w:val="44"/>
        <w:numPr>
          <w:ilvl w:val="2"/>
          <w:numId w:val="22"/>
        </w:numPr>
        <w:tabs>
          <w:tab w:val="left" w:pos="1163"/>
        </w:tabs>
        <w:spacing w:before="181" w:line="417" w:lineRule="auto"/>
        <w:ind w:left="212" w:right="404" w:firstLine="420"/>
        <w:jc w:val="both"/>
        <w:rPr>
          <w:rFonts w:ascii="Times New Roman" w:eastAsia="Times New Roman"/>
          <w:color w:val="auto"/>
          <w:sz w:val="19"/>
        </w:rPr>
      </w:pPr>
      <w:r>
        <w:rPr>
          <w:color w:val="auto"/>
          <w:spacing w:val="-3"/>
          <w:sz w:val="21"/>
        </w:rPr>
        <w:t xml:space="preserve">施工期运行是指合同工程尚未全部竣工，其中某项或某几项区段工程或工程设备安装已竣工， 根据专用合同条款约定，需要投入施工期运行的，经发包人按第 </w:t>
      </w:r>
      <w:r>
        <w:rPr>
          <w:rFonts w:ascii="Times New Roman" w:eastAsia="Times New Roman"/>
          <w:color w:val="auto"/>
          <w:sz w:val="21"/>
        </w:rPr>
        <w:t>18.5</w:t>
      </w:r>
      <w:r>
        <w:rPr>
          <w:rFonts w:ascii="Times New Roman" w:eastAsia="Times New Roman"/>
          <w:color w:val="auto"/>
          <w:spacing w:val="23"/>
          <w:sz w:val="21"/>
        </w:rPr>
        <w:t xml:space="preserve"> </w:t>
      </w:r>
      <w:r>
        <w:rPr>
          <w:color w:val="auto"/>
          <w:spacing w:val="-3"/>
          <w:sz w:val="21"/>
        </w:rPr>
        <w:t>款的约定验收合格，证明能确保安全后，才能在施工期投入运行。</w:t>
      </w:r>
    </w:p>
    <w:p>
      <w:pPr>
        <w:pStyle w:val="44"/>
        <w:numPr>
          <w:ilvl w:val="2"/>
          <w:numId w:val="22"/>
        </w:numPr>
        <w:tabs>
          <w:tab w:val="left" w:pos="1265"/>
        </w:tabs>
        <w:ind w:left="1264" w:hanging="632"/>
        <w:jc w:val="both"/>
        <w:rPr>
          <w:rFonts w:ascii="Times New Roman" w:eastAsia="Times New Roman"/>
          <w:color w:val="auto"/>
          <w:sz w:val="21"/>
        </w:rPr>
      </w:pPr>
      <w:r>
        <w:rPr>
          <w:color w:val="auto"/>
          <w:spacing w:val="-6"/>
          <w:sz w:val="21"/>
        </w:rPr>
        <w:t xml:space="preserve">在施工期运行中发现工程或工程设备损坏或存在缺陷的，由承包人按第 </w:t>
      </w:r>
      <w:r>
        <w:rPr>
          <w:rFonts w:ascii="Times New Roman" w:eastAsia="Times New Roman"/>
          <w:color w:val="auto"/>
          <w:sz w:val="21"/>
        </w:rPr>
        <w:t>19.2</w:t>
      </w:r>
      <w:r>
        <w:rPr>
          <w:rFonts w:ascii="Times New Roman" w:eastAsia="Times New Roman"/>
          <w:color w:val="auto"/>
          <w:spacing w:val="6"/>
          <w:sz w:val="21"/>
        </w:rPr>
        <w:t xml:space="preserve"> </w:t>
      </w:r>
      <w:r>
        <w:rPr>
          <w:color w:val="auto"/>
          <w:spacing w:val="-17"/>
          <w:sz w:val="21"/>
        </w:rPr>
        <w:t>款约定进行修复。</w:t>
      </w:r>
      <w:r>
        <w:rPr>
          <w:color w:val="auto"/>
          <w:sz w:val="21"/>
        </w:rPr>
        <w:t xml:space="preserve"> </w:t>
      </w:r>
    </w:p>
    <w:p>
      <w:pPr>
        <w:pStyle w:val="41"/>
        <w:numPr>
          <w:ilvl w:val="1"/>
          <w:numId w:val="22"/>
        </w:numPr>
        <w:tabs>
          <w:tab w:val="left" w:pos="754"/>
        </w:tabs>
        <w:spacing w:before="178"/>
        <w:ind w:hanging="542"/>
        <w:jc w:val="both"/>
        <w:rPr>
          <w:rFonts w:ascii="Times New Roman" w:eastAsia="Times New Roman"/>
          <w:color w:val="auto"/>
        </w:rPr>
      </w:pPr>
      <w:bookmarkStart w:id="218" w:name="18.7_竣工清场"/>
      <w:bookmarkEnd w:id="218"/>
      <w:r>
        <w:rPr>
          <w:color w:val="auto"/>
        </w:rPr>
        <w:t>竣工清场</w:t>
      </w:r>
    </w:p>
    <w:p>
      <w:pPr>
        <w:pStyle w:val="44"/>
        <w:numPr>
          <w:ilvl w:val="2"/>
          <w:numId w:val="22"/>
        </w:numPr>
        <w:tabs>
          <w:tab w:val="left" w:pos="1163"/>
        </w:tabs>
        <w:spacing w:before="181" w:line="417" w:lineRule="auto"/>
        <w:ind w:left="212" w:right="426" w:firstLine="420"/>
        <w:rPr>
          <w:rFonts w:ascii="Times New Roman" w:eastAsia="Times New Roman"/>
          <w:color w:val="auto"/>
          <w:sz w:val="19"/>
        </w:rPr>
      </w:pPr>
      <w:r>
        <w:rPr>
          <w:color w:val="auto"/>
          <w:spacing w:val="-6"/>
          <w:sz w:val="21"/>
        </w:rPr>
        <w:t>除合同另有约定外，工程接收证书颁发后，承包人应按以下要求对施工场地进行清理，直至监</w:t>
      </w:r>
      <w:r>
        <w:rPr>
          <w:color w:val="auto"/>
          <w:spacing w:val="-4"/>
          <w:sz w:val="21"/>
        </w:rPr>
        <w:t>理人检验合格为止。竣工清场费用由承包人承担。</w:t>
      </w:r>
      <w:r>
        <w:rPr>
          <w:color w:val="auto"/>
          <w:sz w:val="21"/>
        </w:rPr>
        <w:t xml:space="preserve"> </w:t>
      </w:r>
    </w:p>
    <w:p>
      <w:pPr>
        <w:pStyle w:val="44"/>
        <w:numPr>
          <w:ilvl w:val="0"/>
          <w:numId w:val="51"/>
        </w:numPr>
        <w:tabs>
          <w:tab w:val="left" w:pos="1163"/>
        </w:tabs>
        <w:spacing w:line="269" w:lineRule="exact"/>
        <w:ind w:hanging="530"/>
        <w:rPr>
          <w:color w:val="auto"/>
          <w:sz w:val="21"/>
        </w:rPr>
      </w:pPr>
      <w:r>
        <w:rPr>
          <w:color w:val="auto"/>
          <w:spacing w:val="-3"/>
          <w:sz w:val="21"/>
        </w:rPr>
        <w:t>施工场地内残留的垃圾已全部清除出场；</w:t>
      </w:r>
    </w:p>
    <w:p>
      <w:pPr>
        <w:pStyle w:val="8"/>
        <w:spacing w:before="7"/>
        <w:rPr>
          <w:color w:val="auto"/>
          <w:sz w:val="15"/>
        </w:rPr>
      </w:pPr>
    </w:p>
    <w:p>
      <w:pPr>
        <w:pStyle w:val="44"/>
        <w:numPr>
          <w:ilvl w:val="0"/>
          <w:numId w:val="51"/>
        </w:numPr>
        <w:tabs>
          <w:tab w:val="left" w:pos="1163"/>
        </w:tabs>
        <w:ind w:hanging="530"/>
        <w:rPr>
          <w:color w:val="auto"/>
          <w:sz w:val="21"/>
        </w:rPr>
      </w:pPr>
      <w:r>
        <w:rPr>
          <w:color w:val="auto"/>
          <w:spacing w:val="-3"/>
          <w:sz w:val="21"/>
        </w:rPr>
        <w:t>临时工程已拆除，场地已按合同要求进行清理、平整或复原；</w:t>
      </w:r>
    </w:p>
    <w:p>
      <w:pPr>
        <w:rPr>
          <w:color w:val="auto"/>
          <w:sz w:val="21"/>
        </w:rPr>
        <w:sectPr>
          <w:footerReference r:id="rId29" w:type="default"/>
          <w:pgSz w:w="11910" w:h="16840"/>
          <w:pgMar w:top="1560" w:right="700" w:bottom="1180" w:left="920" w:header="0" w:footer="995" w:gutter="0"/>
          <w:cols w:space="720" w:num="1"/>
        </w:sectPr>
      </w:pPr>
    </w:p>
    <w:p>
      <w:pPr>
        <w:pStyle w:val="44"/>
        <w:numPr>
          <w:ilvl w:val="0"/>
          <w:numId w:val="51"/>
        </w:numPr>
        <w:tabs>
          <w:tab w:val="left" w:pos="1165"/>
        </w:tabs>
        <w:spacing w:before="65" w:line="417" w:lineRule="auto"/>
        <w:ind w:left="212" w:right="435" w:firstLine="420"/>
        <w:rPr>
          <w:color w:val="auto"/>
          <w:sz w:val="21"/>
        </w:rPr>
      </w:pPr>
      <w:r>
        <w:rPr>
          <w:color w:val="auto"/>
          <w:spacing w:val="-1"/>
          <w:sz w:val="21"/>
        </w:rPr>
        <w:t>按合同约定应撤离的承包人设备和剩余的材料，包括废弃的施工设备和材料，已按计划撤离施工场地；</w:t>
      </w:r>
    </w:p>
    <w:p>
      <w:pPr>
        <w:pStyle w:val="44"/>
        <w:numPr>
          <w:ilvl w:val="0"/>
          <w:numId w:val="51"/>
        </w:numPr>
        <w:tabs>
          <w:tab w:val="left" w:pos="1163"/>
        </w:tabs>
        <w:spacing w:line="269" w:lineRule="exact"/>
        <w:ind w:hanging="530"/>
        <w:rPr>
          <w:color w:val="auto"/>
          <w:sz w:val="21"/>
        </w:rPr>
      </w:pPr>
      <w:r>
        <w:rPr>
          <w:color w:val="auto"/>
          <w:spacing w:val="-3"/>
          <w:sz w:val="21"/>
        </w:rPr>
        <w:t>工程建筑物周边及其附近道路、河道的施工堆积物，已按监理人指示全部清理；</w:t>
      </w:r>
    </w:p>
    <w:p>
      <w:pPr>
        <w:pStyle w:val="8"/>
        <w:spacing w:before="7"/>
        <w:rPr>
          <w:color w:val="auto"/>
          <w:sz w:val="15"/>
        </w:rPr>
      </w:pPr>
    </w:p>
    <w:p>
      <w:pPr>
        <w:pStyle w:val="44"/>
        <w:numPr>
          <w:ilvl w:val="0"/>
          <w:numId w:val="51"/>
        </w:numPr>
        <w:tabs>
          <w:tab w:val="left" w:pos="1163"/>
        </w:tabs>
        <w:ind w:hanging="530"/>
        <w:rPr>
          <w:color w:val="auto"/>
          <w:sz w:val="21"/>
        </w:rPr>
      </w:pPr>
      <w:r>
        <w:rPr>
          <w:color w:val="auto"/>
          <w:spacing w:val="-3"/>
          <w:sz w:val="21"/>
        </w:rPr>
        <w:t>监理人指示的其他场地清理工作已全部完成。</w:t>
      </w:r>
    </w:p>
    <w:p>
      <w:pPr>
        <w:pStyle w:val="8"/>
        <w:spacing w:before="7"/>
        <w:rPr>
          <w:color w:val="auto"/>
          <w:sz w:val="15"/>
        </w:rPr>
      </w:pP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5"/>
          <w:sz w:val="21"/>
        </w:rPr>
        <w:t>承包人未按监理人的要求恢复临时占地，或者场地清理未达到合同约定的，发包人有权委托其</w:t>
      </w:r>
      <w:r>
        <w:rPr>
          <w:color w:val="auto"/>
          <w:spacing w:val="-4"/>
          <w:sz w:val="21"/>
        </w:rPr>
        <w:t xml:space="preserve">他人恢复或清理，所发生的金额从拟支付给承包人的款项中扣除。 </w:t>
      </w:r>
    </w:p>
    <w:p>
      <w:pPr>
        <w:pStyle w:val="41"/>
        <w:numPr>
          <w:ilvl w:val="1"/>
          <w:numId w:val="22"/>
        </w:numPr>
        <w:tabs>
          <w:tab w:val="left" w:pos="754"/>
        </w:tabs>
        <w:spacing w:line="287" w:lineRule="exact"/>
        <w:ind w:hanging="542"/>
        <w:rPr>
          <w:rFonts w:ascii="Times New Roman" w:eastAsia="Times New Roman"/>
          <w:color w:val="auto"/>
        </w:rPr>
      </w:pPr>
      <w:bookmarkStart w:id="219" w:name="18.8_施工队伍的撤离"/>
      <w:bookmarkEnd w:id="219"/>
      <w:r>
        <w:rPr>
          <w:color w:val="auto"/>
        </w:rPr>
        <w:t>施工队伍的撤离</w:t>
      </w:r>
    </w:p>
    <w:p>
      <w:pPr>
        <w:pStyle w:val="8"/>
        <w:spacing w:before="181" w:line="417" w:lineRule="auto"/>
        <w:ind w:left="212" w:right="426" w:firstLine="420"/>
        <w:jc w:val="both"/>
        <w:rPr>
          <w:color w:val="auto"/>
        </w:rPr>
      </w:pPr>
      <w:r>
        <w:rPr>
          <w:color w:val="auto"/>
          <w:spacing w:val="-2"/>
        </w:rPr>
        <w:t xml:space="preserve">工程接收证书颁发后的 </w:t>
      </w:r>
      <w:r>
        <w:rPr>
          <w:color w:val="auto"/>
        </w:rPr>
        <w:t>56</w:t>
      </w:r>
      <w:r>
        <w:rPr>
          <w:color w:val="auto"/>
          <w:spacing w:val="-3"/>
        </w:rPr>
        <w:t xml:space="preserve"> 天内，除了经监理人同意需在缺陷责任期内继续工作和使用的人员、施工</w:t>
      </w:r>
      <w:r>
        <w:rPr>
          <w:color w:val="auto"/>
          <w:spacing w:val="-5"/>
        </w:rPr>
        <w:t>设备和临时工程外，其余的人员、施工设备和临时工程均应撤离施工场地或拆除。除合同另有约定外，缺</w:t>
      </w:r>
      <w:r>
        <w:rPr>
          <w:color w:val="auto"/>
          <w:spacing w:val="-4"/>
        </w:rPr>
        <w:t xml:space="preserve">陷责任期满时，承包人的人员和施工设备应全部撤离施工场地。 </w:t>
      </w:r>
    </w:p>
    <w:p>
      <w:pPr>
        <w:pStyle w:val="41"/>
        <w:numPr>
          <w:ilvl w:val="1"/>
          <w:numId w:val="22"/>
        </w:numPr>
        <w:tabs>
          <w:tab w:val="left" w:pos="754"/>
        </w:tabs>
        <w:spacing w:line="287" w:lineRule="exact"/>
        <w:ind w:hanging="542"/>
        <w:rPr>
          <w:rFonts w:ascii="Times New Roman" w:eastAsia="Times New Roman"/>
          <w:color w:val="auto"/>
        </w:rPr>
      </w:pPr>
      <w:bookmarkStart w:id="220" w:name="18.9_竣工后试验（A）"/>
      <w:bookmarkEnd w:id="220"/>
      <w:r>
        <w:rPr>
          <w:color w:val="auto"/>
        </w:rPr>
        <w:t>竣工后试验（</w:t>
      </w:r>
      <w:r>
        <w:rPr>
          <w:rFonts w:ascii="Times New Roman" w:eastAsia="Times New Roman"/>
          <w:color w:val="auto"/>
        </w:rPr>
        <w:t>A</w:t>
      </w:r>
      <w:r>
        <w:rPr>
          <w:color w:val="auto"/>
        </w:rPr>
        <w:t>）</w:t>
      </w:r>
    </w:p>
    <w:p>
      <w:pPr>
        <w:pStyle w:val="8"/>
        <w:spacing w:before="181"/>
        <w:ind w:left="633"/>
        <w:rPr>
          <w:color w:val="auto"/>
        </w:rPr>
      </w:pPr>
      <w:r>
        <w:rPr>
          <w:color w:val="auto"/>
        </w:rPr>
        <w:t>除专用合同条款另有约定外，发包人应：</w:t>
      </w:r>
    </w:p>
    <w:p>
      <w:pPr>
        <w:pStyle w:val="8"/>
        <w:spacing w:before="6"/>
        <w:rPr>
          <w:color w:val="auto"/>
          <w:sz w:val="15"/>
        </w:rPr>
      </w:pPr>
    </w:p>
    <w:p>
      <w:pPr>
        <w:pStyle w:val="44"/>
        <w:numPr>
          <w:ilvl w:val="0"/>
          <w:numId w:val="52"/>
        </w:numPr>
        <w:tabs>
          <w:tab w:val="left" w:pos="1165"/>
        </w:tabs>
        <w:spacing w:line="417" w:lineRule="auto"/>
        <w:ind w:right="436" w:firstLine="420"/>
        <w:rPr>
          <w:color w:val="auto"/>
          <w:sz w:val="21"/>
        </w:rPr>
      </w:pPr>
      <w:r>
        <w:rPr>
          <w:color w:val="auto"/>
          <w:spacing w:val="-1"/>
          <w:sz w:val="21"/>
        </w:rPr>
        <w:t>为竣工后试验提供必要的电力、设备、燃料、仪器、劳力、材料，以及具有适当资质和经验的工作人员；</w:t>
      </w:r>
    </w:p>
    <w:p>
      <w:pPr>
        <w:pStyle w:val="44"/>
        <w:numPr>
          <w:ilvl w:val="0"/>
          <w:numId w:val="52"/>
        </w:numPr>
        <w:tabs>
          <w:tab w:val="left" w:pos="1163"/>
        </w:tabs>
        <w:spacing w:line="269" w:lineRule="exact"/>
        <w:ind w:left="1162" w:hanging="530"/>
        <w:rPr>
          <w:color w:val="auto"/>
          <w:sz w:val="21"/>
        </w:rPr>
      </w:pPr>
      <w:r>
        <w:rPr>
          <w:color w:val="auto"/>
          <w:spacing w:val="-9"/>
          <w:sz w:val="21"/>
        </w:rPr>
        <w:t xml:space="preserve">根据承包商按照第 </w:t>
      </w:r>
      <w:r>
        <w:rPr>
          <w:rFonts w:ascii="Times New Roman" w:eastAsia="Times New Roman"/>
          <w:color w:val="auto"/>
          <w:sz w:val="21"/>
        </w:rPr>
        <w:t>5.6</w:t>
      </w:r>
      <w:r>
        <w:rPr>
          <w:rFonts w:ascii="Times New Roman" w:eastAsia="Times New Roman"/>
          <w:color w:val="auto"/>
          <w:spacing w:val="2"/>
          <w:sz w:val="21"/>
        </w:rPr>
        <w:t xml:space="preserve"> </w:t>
      </w:r>
      <w:r>
        <w:rPr>
          <w:color w:val="auto"/>
          <w:spacing w:val="-3"/>
          <w:sz w:val="21"/>
        </w:rPr>
        <w:t>款提供的手册，以及承包人给予的指导进行竣工后试验。</w:t>
      </w:r>
    </w:p>
    <w:p>
      <w:pPr>
        <w:pStyle w:val="8"/>
        <w:spacing w:before="7"/>
        <w:rPr>
          <w:color w:val="auto"/>
          <w:sz w:val="15"/>
        </w:rPr>
      </w:pPr>
    </w:p>
    <w:p>
      <w:pPr>
        <w:pStyle w:val="8"/>
        <w:spacing w:line="417" w:lineRule="auto"/>
        <w:ind w:left="212" w:right="426" w:firstLine="420"/>
        <w:rPr>
          <w:color w:val="auto"/>
        </w:rPr>
      </w:pPr>
      <w:r>
        <w:rPr>
          <w:color w:val="auto"/>
        </w:rPr>
        <w:t xml:space="preserve">发包人应提前 </w:t>
      </w:r>
      <w:r>
        <w:rPr>
          <w:rFonts w:ascii="Times New Roman" w:eastAsia="Times New Roman"/>
          <w:color w:val="auto"/>
        </w:rPr>
        <w:t xml:space="preserve">21 </w:t>
      </w:r>
      <w:r>
        <w:rPr>
          <w:color w:val="auto"/>
        </w:rPr>
        <w:t>天将竣工后试验的日期通知承包人。如果承包人未能在该日期出席竣工后试验，发包人可自行进行，承包人应对检验数据予以认可。</w:t>
      </w:r>
    </w:p>
    <w:p>
      <w:pPr>
        <w:pStyle w:val="8"/>
        <w:spacing w:line="417" w:lineRule="auto"/>
        <w:ind w:left="212" w:right="426" w:firstLine="420"/>
        <w:rPr>
          <w:color w:val="auto"/>
        </w:rPr>
      </w:pPr>
      <w:r>
        <w:rPr>
          <w:color w:val="auto"/>
          <w:spacing w:val="-5"/>
        </w:rPr>
        <w:t>因承包人原因造成某项竣工后试验未能通过的，承包人应按照合同的约定进行赔偿，或者承包人提出</w:t>
      </w:r>
      <w:r>
        <w:rPr>
          <w:color w:val="auto"/>
          <w:spacing w:val="-4"/>
        </w:rPr>
        <w:t>修复建议，按照发包人指示的合理期限内改正，并承担合同约定的相应责任。</w:t>
      </w:r>
    </w:p>
    <w:p>
      <w:pPr>
        <w:pStyle w:val="41"/>
        <w:numPr>
          <w:ilvl w:val="1"/>
          <w:numId w:val="53"/>
        </w:numPr>
        <w:tabs>
          <w:tab w:val="left" w:pos="754"/>
        </w:tabs>
        <w:spacing w:line="287" w:lineRule="exact"/>
        <w:ind w:hanging="542"/>
        <w:rPr>
          <w:color w:val="auto"/>
        </w:rPr>
      </w:pPr>
      <w:bookmarkStart w:id="221" w:name="18.9_竣工后试验（B）"/>
      <w:bookmarkEnd w:id="221"/>
      <w:r>
        <w:rPr>
          <w:color w:val="auto"/>
          <w:w w:val="95"/>
        </w:rPr>
        <w:t>竣工后试验（</w:t>
      </w:r>
      <w:r>
        <w:rPr>
          <w:rFonts w:ascii="Times New Roman" w:eastAsia="Times New Roman"/>
          <w:color w:val="auto"/>
          <w:w w:val="95"/>
        </w:rPr>
        <w:t>B</w:t>
      </w:r>
      <w:r>
        <w:rPr>
          <w:color w:val="auto"/>
          <w:w w:val="95"/>
        </w:rPr>
        <w:t>）</w:t>
      </w:r>
    </w:p>
    <w:p>
      <w:pPr>
        <w:pStyle w:val="8"/>
        <w:spacing w:before="181"/>
        <w:ind w:left="633"/>
        <w:rPr>
          <w:color w:val="auto"/>
        </w:rPr>
      </w:pPr>
      <w:r>
        <w:rPr>
          <w:color w:val="auto"/>
          <w:spacing w:val="-3"/>
        </w:rPr>
        <w:t>除专用合同条款另有约定外：</w:t>
      </w:r>
      <w:r>
        <w:rPr>
          <w:color w:val="auto"/>
        </w:rPr>
        <w:t xml:space="preserve"> </w:t>
      </w:r>
    </w:p>
    <w:p>
      <w:pPr>
        <w:pStyle w:val="8"/>
        <w:spacing w:before="7"/>
        <w:rPr>
          <w:color w:val="auto"/>
          <w:sz w:val="15"/>
        </w:rPr>
      </w:pPr>
    </w:p>
    <w:p>
      <w:pPr>
        <w:pStyle w:val="44"/>
        <w:numPr>
          <w:ilvl w:val="2"/>
          <w:numId w:val="53"/>
        </w:numPr>
        <w:tabs>
          <w:tab w:val="left" w:pos="1163"/>
        </w:tabs>
        <w:ind w:hanging="530"/>
        <w:rPr>
          <w:color w:val="auto"/>
          <w:sz w:val="21"/>
        </w:rPr>
      </w:pPr>
      <w:r>
        <w:rPr>
          <w:color w:val="auto"/>
          <w:spacing w:val="-3"/>
          <w:sz w:val="21"/>
        </w:rPr>
        <w:t>发包人为竣工后试验提供必要的电力、材料、燃料、发包人人员和工程设备；</w:t>
      </w:r>
    </w:p>
    <w:p>
      <w:pPr>
        <w:pStyle w:val="8"/>
        <w:spacing w:before="6"/>
        <w:rPr>
          <w:color w:val="auto"/>
          <w:sz w:val="15"/>
        </w:rPr>
      </w:pPr>
    </w:p>
    <w:p>
      <w:pPr>
        <w:pStyle w:val="44"/>
        <w:numPr>
          <w:ilvl w:val="2"/>
          <w:numId w:val="53"/>
        </w:numPr>
        <w:tabs>
          <w:tab w:val="left" w:pos="1163"/>
        </w:tabs>
        <w:spacing w:before="1"/>
        <w:ind w:hanging="530"/>
        <w:rPr>
          <w:color w:val="auto"/>
          <w:sz w:val="21"/>
        </w:rPr>
      </w:pPr>
      <w:r>
        <w:rPr>
          <w:color w:val="auto"/>
          <w:spacing w:val="-3"/>
          <w:sz w:val="21"/>
        </w:rPr>
        <w:t>承包人应提供竣工后试验所需要的所有其他设备、仪器，以及有资格和经验的工作人员；</w:t>
      </w:r>
    </w:p>
    <w:p>
      <w:pPr>
        <w:pStyle w:val="8"/>
        <w:spacing w:before="7"/>
        <w:rPr>
          <w:color w:val="auto"/>
          <w:sz w:val="15"/>
        </w:rPr>
      </w:pPr>
    </w:p>
    <w:p>
      <w:pPr>
        <w:pStyle w:val="44"/>
        <w:numPr>
          <w:ilvl w:val="2"/>
          <w:numId w:val="53"/>
        </w:numPr>
        <w:tabs>
          <w:tab w:val="left" w:pos="1163"/>
        </w:tabs>
        <w:spacing w:line="417" w:lineRule="auto"/>
        <w:ind w:left="212" w:right="426" w:firstLine="420"/>
        <w:jc w:val="both"/>
        <w:rPr>
          <w:color w:val="auto"/>
          <w:sz w:val="21"/>
        </w:rPr>
      </w:pPr>
      <w:r>
        <w:rPr>
          <w:color w:val="auto"/>
          <w:spacing w:val="-6"/>
          <w:sz w:val="21"/>
        </w:rPr>
        <w:t xml:space="preserve">承包人应在发包人在场的情况下，进行竣工后试验。发包人应提前 </w:t>
      </w:r>
      <w:r>
        <w:rPr>
          <w:rFonts w:ascii="Times New Roman" w:eastAsia="Times New Roman"/>
          <w:color w:val="auto"/>
          <w:sz w:val="21"/>
        </w:rPr>
        <w:t>21</w:t>
      </w:r>
      <w:r>
        <w:rPr>
          <w:rFonts w:ascii="Times New Roman" w:eastAsia="Times New Roman"/>
          <w:color w:val="auto"/>
          <w:spacing w:val="18"/>
          <w:sz w:val="21"/>
        </w:rPr>
        <w:t xml:space="preserve"> </w:t>
      </w:r>
      <w:r>
        <w:rPr>
          <w:color w:val="auto"/>
          <w:spacing w:val="-3"/>
          <w:sz w:val="21"/>
        </w:rPr>
        <w:t>天将竣工后试验的日期通</w:t>
      </w:r>
      <w:r>
        <w:rPr>
          <w:color w:val="auto"/>
          <w:spacing w:val="-6"/>
          <w:sz w:val="21"/>
        </w:rPr>
        <w:t>知承包人。因承包人原因造成某项竣工后试验未能通过的，承包人应按照合同的约定进行赔偿，或者承包</w:t>
      </w:r>
      <w:r>
        <w:rPr>
          <w:color w:val="auto"/>
          <w:spacing w:val="-4"/>
          <w:sz w:val="21"/>
        </w:rPr>
        <w:t>人提出修复建议，按照发包人指示的合理期限内改正，并承担合同约定的相应责任。</w:t>
      </w:r>
    </w:p>
    <w:p>
      <w:pPr>
        <w:pStyle w:val="8"/>
        <w:spacing w:before="10"/>
        <w:rPr>
          <w:color w:val="auto"/>
          <w:sz w:val="20"/>
        </w:rPr>
      </w:pPr>
    </w:p>
    <w:p>
      <w:pPr>
        <w:pStyle w:val="37"/>
        <w:numPr>
          <w:ilvl w:val="0"/>
          <w:numId w:val="22"/>
        </w:numPr>
        <w:tabs>
          <w:tab w:val="left" w:pos="828"/>
        </w:tabs>
        <w:ind w:left="827" w:hanging="616"/>
        <w:rPr>
          <w:rFonts w:ascii="Cambria" w:eastAsia="Cambria"/>
          <w:color w:val="auto"/>
        </w:rPr>
      </w:pPr>
      <w:bookmarkStart w:id="222" w:name="19._缺陷责任与保修责任"/>
      <w:bookmarkEnd w:id="222"/>
      <w:r>
        <w:rPr>
          <w:color w:val="auto"/>
        </w:rPr>
        <w:t>缺陷责任与保修责任</w:t>
      </w:r>
    </w:p>
    <w:p>
      <w:pPr>
        <w:pStyle w:val="8"/>
        <w:spacing w:before="9"/>
        <w:rPr>
          <w:b/>
          <w:color w:val="auto"/>
          <w:sz w:val="34"/>
        </w:rPr>
      </w:pPr>
    </w:p>
    <w:p>
      <w:pPr>
        <w:pStyle w:val="41"/>
        <w:numPr>
          <w:ilvl w:val="1"/>
          <w:numId w:val="22"/>
        </w:numPr>
        <w:tabs>
          <w:tab w:val="left" w:pos="754"/>
        </w:tabs>
        <w:ind w:hanging="542"/>
        <w:rPr>
          <w:rFonts w:ascii="Times New Roman" w:eastAsia="Times New Roman"/>
          <w:color w:val="auto"/>
        </w:rPr>
      </w:pPr>
      <w:bookmarkStart w:id="223" w:name="19.1_缺陷责任期的起算时间"/>
      <w:bookmarkEnd w:id="223"/>
      <w:r>
        <w:rPr>
          <w:color w:val="auto"/>
        </w:rPr>
        <w:t>缺陷责任期的起算时间</w:t>
      </w:r>
    </w:p>
    <w:p>
      <w:pPr>
        <w:rPr>
          <w:rFonts w:ascii="Times New Roman" w:eastAsia="Times New Roman"/>
          <w:color w:val="auto"/>
        </w:rPr>
        <w:sectPr>
          <w:pgSz w:w="11910" w:h="16840"/>
          <w:pgMar w:top="1540" w:right="700" w:bottom="1180" w:left="920" w:header="0" w:footer="995" w:gutter="0"/>
          <w:cols w:space="720" w:num="1"/>
        </w:sectPr>
      </w:pPr>
    </w:p>
    <w:p>
      <w:pPr>
        <w:pStyle w:val="8"/>
        <w:spacing w:before="45" w:line="417" w:lineRule="auto"/>
        <w:ind w:left="212" w:right="426" w:firstLine="420"/>
        <w:rPr>
          <w:color w:val="auto"/>
        </w:rPr>
      </w:pPr>
      <w:r>
        <w:rPr>
          <w:color w:val="auto"/>
          <w:spacing w:val="-5"/>
        </w:rPr>
        <w:t>缺陷责任期自实际竣工日期起计算。在全部工程竣工验收前，已经发包人提前验收的区段工程或进入</w:t>
      </w:r>
      <w:r>
        <w:rPr>
          <w:color w:val="auto"/>
          <w:spacing w:val="-4"/>
        </w:rPr>
        <w:t>施工期运行的工程，其缺陷责任期的起算日期相应提前到相应工程竣工日。</w:t>
      </w:r>
      <w:r>
        <w:rPr>
          <w:color w:val="auto"/>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224" w:name="19.2_缺陷责任"/>
      <w:bookmarkEnd w:id="224"/>
      <w:r>
        <w:rPr>
          <w:color w:val="auto"/>
        </w:rPr>
        <w:t>缺陷责任</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承包人应在缺陷责任期内对已交付使用的工程承担缺陷责任。</w:t>
      </w:r>
      <w:r>
        <w:rPr>
          <w:color w:val="auto"/>
          <w:sz w:val="21"/>
        </w:rPr>
        <w:t xml:space="preserve"> </w:t>
      </w:r>
    </w:p>
    <w:p>
      <w:pPr>
        <w:pStyle w:val="8"/>
        <w:spacing w:before="7"/>
        <w:rPr>
          <w:color w:val="auto"/>
          <w:sz w:val="15"/>
        </w:rPr>
      </w:pPr>
    </w:p>
    <w:p>
      <w:pPr>
        <w:pStyle w:val="44"/>
        <w:numPr>
          <w:ilvl w:val="2"/>
          <w:numId w:val="22"/>
        </w:numPr>
        <w:tabs>
          <w:tab w:val="left" w:pos="1163"/>
        </w:tabs>
        <w:spacing w:line="417" w:lineRule="auto"/>
        <w:ind w:left="212" w:right="325" w:firstLine="420"/>
        <w:rPr>
          <w:rFonts w:ascii="Times New Roman" w:eastAsia="Times New Roman"/>
          <w:color w:val="auto"/>
          <w:sz w:val="19"/>
        </w:rPr>
      </w:pPr>
      <w:r>
        <w:rPr>
          <w:color w:val="auto"/>
          <w:spacing w:val="-6"/>
          <w:sz w:val="21"/>
        </w:rPr>
        <w:t>缺陷责任期内，发包人对已接收使用的工程负责日常维护工作。发包人在使用过程中，发现已接</w:t>
      </w:r>
      <w:r>
        <w:rPr>
          <w:color w:val="auto"/>
          <w:spacing w:val="-13"/>
          <w:sz w:val="21"/>
        </w:rPr>
        <w:t>收的工程存在新的缺陷或已修复的缺陷部位或部件又遭损坏的，承包人应负责修复，直至检验合格为止。</w:t>
      </w:r>
      <w:r>
        <w:rPr>
          <w:color w:val="auto"/>
          <w:sz w:val="21"/>
        </w:rPr>
        <w:t xml:space="preserve"> </w:t>
      </w:r>
    </w:p>
    <w:p>
      <w:pPr>
        <w:pStyle w:val="44"/>
        <w:numPr>
          <w:ilvl w:val="2"/>
          <w:numId w:val="22"/>
        </w:numPr>
        <w:tabs>
          <w:tab w:val="left" w:pos="1265"/>
        </w:tabs>
        <w:spacing w:line="417" w:lineRule="auto"/>
        <w:ind w:left="212" w:right="426" w:firstLine="420"/>
        <w:jc w:val="both"/>
        <w:rPr>
          <w:rFonts w:ascii="Times New Roman" w:eastAsia="Times New Roman"/>
          <w:color w:val="auto"/>
          <w:sz w:val="21"/>
        </w:rPr>
      </w:pPr>
      <w:r>
        <w:rPr>
          <w:color w:val="auto"/>
          <w:spacing w:val="-4"/>
          <w:sz w:val="21"/>
        </w:rPr>
        <w:t>监理人和承包人应共同查清缺陷和</w:t>
      </w:r>
      <w:r>
        <w:rPr>
          <w:color w:val="auto"/>
          <w:spacing w:val="-3"/>
          <w:sz w:val="21"/>
        </w:rPr>
        <w:t>（或</w:t>
      </w:r>
      <w:r>
        <w:rPr>
          <w:color w:val="auto"/>
          <w:spacing w:val="-5"/>
          <w:sz w:val="21"/>
        </w:rPr>
        <w:t>）损坏的原因。经查明属承包人原因造成的，应由承包</w:t>
      </w:r>
      <w:r>
        <w:rPr>
          <w:color w:val="auto"/>
          <w:spacing w:val="-7"/>
          <w:sz w:val="21"/>
        </w:rPr>
        <w:t>人承担修复和查验的费用。经查验属发包人原因造成的，发包人应承担修复和查验的费用，并支付承包人</w:t>
      </w:r>
      <w:r>
        <w:rPr>
          <w:color w:val="auto"/>
          <w:spacing w:val="-5"/>
          <w:sz w:val="21"/>
        </w:rPr>
        <w:t>合理利润。</w:t>
      </w:r>
      <w:r>
        <w:rPr>
          <w:color w:val="auto"/>
          <w:sz w:val="21"/>
        </w:rPr>
        <w:t xml:space="preserve">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5"/>
          <w:sz w:val="21"/>
        </w:rPr>
        <w:t>承包人不能在合理时间内修复缺陷的，发包人可自行修复或委托其他人修复，所需费用和利润</w:t>
      </w:r>
      <w:r>
        <w:rPr>
          <w:color w:val="auto"/>
          <w:spacing w:val="-11"/>
          <w:sz w:val="21"/>
        </w:rPr>
        <w:t xml:space="preserve">的承担，按第 </w:t>
      </w:r>
      <w:r>
        <w:rPr>
          <w:rFonts w:ascii="Times New Roman" w:eastAsia="Times New Roman"/>
          <w:color w:val="auto"/>
          <w:sz w:val="21"/>
        </w:rPr>
        <w:t>19.2.3</w:t>
      </w:r>
      <w:r>
        <w:rPr>
          <w:rFonts w:ascii="Times New Roman" w:eastAsia="Times New Roman"/>
          <w:color w:val="auto"/>
          <w:spacing w:val="50"/>
          <w:sz w:val="21"/>
        </w:rPr>
        <w:t xml:space="preserve"> </w:t>
      </w:r>
      <w:r>
        <w:rPr>
          <w:color w:val="auto"/>
          <w:spacing w:val="-3"/>
          <w:sz w:val="21"/>
        </w:rPr>
        <w:t>项约定执行。</w:t>
      </w:r>
      <w:r>
        <w:rPr>
          <w:color w:val="auto"/>
          <w:sz w:val="21"/>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225" w:name="19.3_缺陷责任期的延长"/>
      <w:bookmarkEnd w:id="225"/>
      <w:r>
        <w:rPr>
          <w:color w:val="auto"/>
        </w:rPr>
        <w:t>缺陷责任期的延长</w:t>
      </w:r>
    </w:p>
    <w:p>
      <w:pPr>
        <w:pStyle w:val="8"/>
        <w:spacing w:before="181" w:line="417" w:lineRule="auto"/>
        <w:ind w:left="212" w:right="426" w:firstLine="420"/>
        <w:jc w:val="both"/>
        <w:rPr>
          <w:color w:val="auto"/>
        </w:rPr>
      </w:pPr>
      <w:r>
        <w:rPr>
          <w:color w:val="auto"/>
          <w:spacing w:val="-4"/>
        </w:rPr>
        <w:t>由于承包人原因造成某项缺陷或损坏使某项工程或工程设备不能按原定目标使用而需要再次检查、检</w:t>
      </w:r>
      <w:r>
        <w:rPr>
          <w:color w:val="auto"/>
          <w:spacing w:val="-5"/>
        </w:rPr>
        <w:t xml:space="preserve">验和修复的，发包人有权要求承包人相应延长缺陷责任期，但缺陷责任期最长不超过 </w:t>
      </w:r>
      <w:r>
        <w:rPr>
          <w:color w:val="auto"/>
        </w:rPr>
        <w:t>2</w:t>
      </w:r>
      <w:r>
        <w:rPr>
          <w:color w:val="auto"/>
          <w:spacing w:val="-19"/>
        </w:rPr>
        <w:t xml:space="preserve"> 年。</w:t>
      </w:r>
      <w:r>
        <w:rPr>
          <w:color w:val="auto"/>
        </w:rPr>
        <w:t xml:space="preserve"> </w:t>
      </w:r>
    </w:p>
    <w:p>
      <w:pPr>
        <w:pStyle w:val="41"/>
        <w:numPr>
          <w:ilvl w:val="1"/>
          <w:numId w:val="22"/>
        </w:numPr>
        <w:tabs>
          <w:tab w:val="left" w:pos="754"/>
        </w:tabs>
        <w:spacing w:line="287" w:lineRule="exact"/>
        <w:ind w:hanging="542"/>
        <w:jc w:val="both"/>
        <w:rPr>
          <w:rFonts w:ascii="Times New Roman" w:eastAsia="Times New Roman"/>
          <w:color w:val="auto"/>
        </w:rPr>
      </w:pPr>
      <w:bookmarkStart w:id="226" w:name="19.4_进一步试验和试运行"/>
      <w:bookmarkEnd w:id="226"/>
      <w:r>
        <w:rPr>
          <w:color w:val="auto"/>
        </w:rPr>
        <w:t>进一步试验和试运行</w:t>
      </w:r>
    </w:p>
    <w:p>
      <w:pPr>
        <w:pStyle w:val="8"/>
        <w:spacing w:before="181" w:line="417" w:lineRule="auto"/>
        <w:ind w:left="212" w:right="426" w:firstLine="420"/>
        <w:rPr>
          <w:color w:val="auto"/>
        </w:rPr>
      </w:pPr>
      <w:r>
        <w:rPr>
          <w:color w:val="auto"/>
          <w:spacing w:val="-5"/>
        </w:rPr>
        <w:t>任何一项缺陷或损坏修复后，经检查证明其影响了工程或工程设备的使用性能，承包人应重新进行合</w:t>
      </w:r>
      <w:r>
        <w:rPr>
          <w:color w:val="auto"/>
          <w:spacing w:val="-4"/>
        </w:rPr>
        <w:t xml:space="preserve">同约定的试验和试运行，试验和试运行的全部费用应由责任方承担。 </w:t>
      </w:r>
    </w:p>
    <w:p>
      <w:pPr>
        <w:pStyle w:val="41"/>
        <w:numPr>
          <w:ilvl w:val="1"/>
          <w:numId w:val="22"/>
        </w:numPr>
        <w:tabs>
          <w:tab w:val="left" w:pos="754"/>
        </w:tabs>
        <w:spacing w:line="287" w:lineRule="exact"/>
        <w:ind w:hanging="542"/>
        <w:jc w:val="both"/>
        <w:rPr>
          <w:rFonts w:ascii="Times New Roman" w:eastAsia="Times New Roman"/>
          <w:color w:val="auto"/>
        </w:rPr>
      </w:pPr>
      <w:bookmarkStart w:id="227" w:name="19.5_承包人的进入权"/>
      <w:bookmarkEnd w:id="227"/>
      <w:r>
        <w:rPr>
          <w:color w:val="auto"/>
        </w:rPr>
        <w:t>承包人的进入权</w:t>
      </w:r>
    </w:p>
    <w:p>
      <w:pPr>
        <w:pStyle w:val="8"/>
        <w:spacing w:before="180"/>
        <w:ind w:left="633"/>
        <w:rPr>
          <w:color w:val="auto"/>
        </w:rPr>
      </w:pPr>
      <w:r>
        <w:rPr>
          <w:color w:val="auto"/>
        </w:rPr>
        <w:t xml:space="preserve">缺陷责任期内承包人为缺陷修复工作需要，有权进入工程现场，但应遵守发包人的保安和保密规定。 </w:t>
      </w:r>
    </w:p>
    <w:p>
      <w:pPr>
        <w:pStyle w:val="41"/>
        <w:numPr>
          <w:ilvl w:val="1"/>
          <w:numId w:val="22"/>
        </w:numPr>
        <w:tabs>
          <w:tab w:val="left" w:pos="754"/>
        </w:tabs>
        <w:spacing w:before="179"/>
        <w:ind w:hanging="542"/>
        <w:jc w:val="both"/>
        <w:rPr>
          <w:rFonts w:ascii="Times New Roman" w:eastAsia="Times New Roman"/>
          <w:color w:val="auto"/>
        </w:rPr>
      </w:pPr>
      <w:bookmarkStart w:id="228" w:name="19.6_缺陷责任期终止证书"/>
      <w:bookmarkEnd w:id="228"/>
      <w:r>
        <w:rPr>
          <w:color w:val="auto"/>
        </w:rPr>
        <w:t>缺陷责任期终止证书</w:t>
      </w:r>
    </w:p>
    <w:p>
      <w:pPr>
        <w:pStyle w:val="8"/>
        <w:spacing w:before="181" w:line="417" w:lineRule="auto"/>
        <w:ind w:left="212" w:right="430" w:firstLine="420"/>
        <w:jc w:val="both"/>
        <w:rPr>
          <w:color w:val="auto"/>
        </w:rPr>
      </w:pPr>
      <w:r>
        <w:rPr>
          <w:color w:val="auto"/>
          <w:spacing w:val="-16"/>
        </w:rPr>
        <w:t xml:space="preserve">在第 </w:t>
      </w:r>
      <w:r>
        <w:rPr>
          <w:rFonts w:ascii="Times New Roman" w:eastAsia="Times New Roman"/>
          <w:color w:val="auto"/>
        </w:rPr>
        <w:t xml:space="preserve">1.1.4.5 </w:t>
      </w:r>
      <w:r>
        <w:rPr>
          <w:color w:val="auto"/>
          <w:spacing w:val="-7"/>
        </w:rPr>
        <w:t xml:space="preserve">目约定的缺陷责任期，包括根据第 </w:t>
      </w:r>
      <w:r>
        <w:rPr>
          <w:rFonts w:ascii="Times New Roman" w:eastAsia="Times New Roman"/>
          <w:color w:val="auto"/>
        </w:rPr>
        <w:t xml:space="preserve">19.3 </w:t>
      </w:r>
      <w:r>
        <w:rPr>
          <w:color w:val="auto"/>
          <w:spacing w:val="-8"/>
        </w:rPr>
        <w:t xml:space="preserve">款延长的期限终止后 </w:t>
      </w:r>
      <w:r>
        <w:rPr>
          <w:rFonts w:ascii="Times New Roman" w:eastAsia="Times New Roman"/>
          <w:color w:val="auto"/>
        </w:rPr>
        <w:t xml:space="preserve">14 </w:t>
      </w:r>
      <w:r>
        <w:rPr>
          <w:color w:val="auto"/>
          <w:spacing w:val="-4"/>
        </w:rPr>
        <w:t>天内，由监理人向承包人</w:t>
      </w:r>
      <w:r>
        <w:rPr>
          <w:color w:val="auto"/>
          <w:spacing w:val="-3"/>
        </w:rPr>
        <w:t xml:space="preserve">出具经发包人签认的缺陷责任期终止证书，并退还剩余的质量保证金。 </w:t>
      </w:r>
    </w:p>
    <w:p>
      <w:pPr>
        <w:pStyle w:val="41"/>
        <w:numPr>
          <w:ilvl w:val="1"/>
          <w:numId w:val="22"/>
        </w:numPr>
        <w:tabs>
          <w:tab w:val="left" w:pos="754"/>
        </w:tabs>
        <w:spacing w:line="287" w:lineRule="exact"/>
        <w:ind w:hanging="542"/>
        <w:jc w:val="both"/>
        <w:rPr>
          <w:rFonts w:ascii="Times New Roman" w:eastAsia="Times New Roman"/>
          <w:color w:val="auto"/>
        </w:rPr>
      </w:pPr>
      <w:bookmarkStart w:id="229" w:name="19.7_保修责任"/>
      <w:bookmarkEnd w:id="229"/>
      <w:r>
        <w:rPr>
          <w:color w:val="auto"/>
        </w:rPr>
        <w:t>保修责任</w:t>
      </w:r>
    </w:p>
    <w:p>
      <w:pPr>
        <w:pStyle w:val="8"/>
        <w:spacing w:before="181" w:line="417" w:lineRule="auto"/>
        <w:ind w:left="212" w:right="426" w:firstLine="420"/>
        <w:jc w:val="both"/>
        <w:rPr>
          <w:color w:val="auto"/>
        </w:rPr>
      </w:pPr>
      <w:r>
        <w:rPr>
          <w:color w:val="auto"/>
          <w:spacing w:val="-6"/>
        </w:rPr>
        <w:t>合同当事人根据有关法律规定，在专用合同条款中约定工程质量保修范围、期限和责任。保修期自实</w:t>
      </w:r>
      <w:r>
        <w:rPr>
          <w:color w:val="auto"/>
          <w:spacing w:val="-7"/>
        </w:rPr>
        <w:t xml:space="preserve">际竣工日期起计算。在全部工程竣工验收前，已经发包人提前验收的区段工程，其保修期的起算日期相应提前。 </w:t>
      </w:r>
    </w:p>
    <w:p>
      <w:pPr>
        <w:pStyle w:val="8"/>
        <w:spacing w:before="10"/>
        <w:rPr>
          <w:color w:val="auto"/>
          <w:sz w:val="20"/>
        </w:rPr>
      </w:pPr>
    </w:p>
    <w:p>
      <w:pPr>
        <w:pStyle w:val="37"/>
        <w:numPr>
          <w:ilvl w:val="0"/>
          <w:numId w:val="22"/>
        </w:numPr>
        <w:tabs>
          <w:tab w:val="left" w:pos="828"/>
        </w:tabs>
        <w:ind w:left="827" w:hanging="616"/>
        <w:jc w:val="both"/>
        <w:rPr>
          <w:rFonts w:ascii="Cambria" w:eastAsia="Cambria"/>
          <w:color w:val="auto"/>
        </w:rPr>
      </w:pPr>
      <w:bookmarkStart w:id="230" w:name="20._保险"/>
      <w:bookmarkEnd w:id="230"/>
      <w:r>
        <w:rPr>
          <w:color w:val="auto"/>
        </w:rPr>
        <w:t>保险</w:t>
      </w:r>
    </w:p>
    <w:p>
      <w:pPr>
        <w:pStyle w:val="8"/>
        <w:spacing w:before="10"/>
        <w:rPr>
          <w:b/>
          <w:color w:val="auto"/>
          <w:sz w:val="34"/>
        </w:rPr>
      </w:pPr>
    </w:p>
    <w:p>
      <w:pPr>
        <w:pStyle w:val="41"/>
        <w:numPr>
          <w:ilvl w:val="1"/>
          <w:numId w:val="22"/>
        </w:numPr>
        <w:tabs>
          <w:tab w:val="left" w:pos="754"/>
        </w:tabs>
        <w:ind w:hanging="542"/>
        <w:jc w:val="both"/>
        <w:rPr>
          <w:rFonts w:ascii="Times New Roman" w:eastAsia="Times New Roman"/>
          <w:color w:val="auto"/>
        </w:rPr>
      </w:pPr>
      <w:bookmarkStart w:id="231" w:name="20.1_设计和工程保险"/>
      <w:bookmarkEnd w:id="231"/>
      <w:r>
        <w:rPr>
          <w:color w:val="auto"/>
        </w:rPr>
        <w:t>设计和工程保险</w:t>
      </w:r>
    </w:p>
    <w:p>
      <w:pPr>
        <w:jc w:val="both"/>
        <w:rPr>
          <w:rFonts w:ascii="Times New Roman" w:eastAsia="Times New Roman"/>
          <w:color w:val="auto"/>
        </w:rPr>
        <w:sectPr>
          <w:pgSz w:w="11910" w:h="16840"/>
          <w:pgMar w:top="1560" w:right="700" w:bottom="1180" w:left="920" w:header="0" w:footer="995" w:gutter="0"/>
          <w:cols w:space="720" w:num="1"/>
        </w:sectPr>
      </w:pPr>
    </w:p>
    <w:p>
      <w:pPr>
        <w:pStyle w:val="44"/>
        <w:numPr>
          <w:ilvl w:val="2"/>
          <w:numId w:val="22"/>
        </w:numPr>
        <w:tabs>
          <w:tab w:val="left" w:pos="1265"/>
        </w:tabs>
        <w:spacing w:before="65" w:line="417" w:lineRule="auto"/>
        <w:ind w:left="212" w:right="426" w:firstLine="420"/>
        <w:jc w:val="both"/>
        <w:rPr>
          <w:rFonts w:ascii="Times New Roman" w:eastAsia="Times New Roman"/>
          <w:color w:val="auto"/>
          <w:sz w:val="21"/>
        </w:rPr>
      </w:pPr>
      <w:r>
        <w:rPr>
          <w:color w:val="auto"/>
          <w:spacing w:val="-4"/>
          <w:sz w:val="21"/>
        </w:rPr>
        <w:t>承包人按照专用合同条款的约定向双方同意的保险人投保建设工程设计责任险、建筑工程一切</w:t>
      </w:r>
      <w:r>
        <w:rPr>
          <w:color w:val="auto"/>
          <w:spacing w:val="-7"/>
          <w:sz w:val="21"/>
        </w:rPr>
        <w:t>险或安装工程一切险等保险。具体的投保险种、保险范围、保险金额、保险费率、保险期限等有关内容应</w:t>
      </w:r>
      <w:r>
        <w:rPr>
          <w:color w:val="auto"/>
          <w:spacing w:val="-5"/>
          <w:sz w:val="21"/>
        </w:rPr>
        <w:t xml:space="preserve">当在专用合同条款中明确约定。 </w:t>
      </w:r>
    </w:p>
    <w:p>
      <w:pPr>
        <w:pStyle w:val="44"/>
        <w:numPr>
          <w:ilvl w:val="2"/>
          <w:numId w:val="22"/>
        </w:numPr>
        <w:tabs>
          <w:tab w:val="left" w:pos="1265"/>
        </w:tabs>
        <w:spacing w:line="269" w:lineRule="exact"/>
        <w:ind w:left="1264" w:hanging="632"/>
        <w:jc w:val="both"/>
        <w:rPr>
          <w:rFonts w:ascii="Times New Roman" w:eastAsia="Times New Roman"/>
          <w:color w:val="auto"/>
          <w:sz w:val="21"/>
        </w:rPr>
      </w:pPr>
      <w:r>
        <w:rPr>
          <w:color w:val="auto"/>
          <w:spacing w:val="-3"/>
          <w:sz w:val="21"/>
        </w:rPr>
        <w:t>在缺陷责任期终止证书颁发前，承包人应按照专用合同条款的约定投保第三者责任险。</w:t>
      </w:r>
      <w:r>
        <w:rPr>
          <w:color w:val="auto"/>
          <w:sz w:val="21"/>
        </w:rPr>
        <w:t xml:space="preserve"> </w:t>
      </w:r>
    </w:p>
    <w:p>
      <w:pPr>
        <w:pStyle w:val="41"/>
        <w:numPr>
          <w:ilvl w:val="1"/>
          <w:numId w:val="22"/>
        </w:numPr>
        <w:tabs>
          <w:tab w:val="left" w:pos="754"/>
        </w:tabs>
        <w:spacing w:before="179"/>
        <w:ind w:hanging="542"/>
        <w:rPr>
          <w:rFonts w:ascii="Times New Roman" w:eastAsia="Times New Roman"/>
          <w:color w:val="auto"/>
        </w:rPr>
      </w:pPr>
      <w:bookmarkStart w:id="232" w:name="20.2_工伤保险"/>
      <w:bookmarkEnd w:id="232"/>
      <w:r>
        <w:rPr>
          <w:color w:val="auto"/>
        </w:rPr>
        <w:t>工伤保险</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承包人员工伤保险</w:t>
      </w:r>
      <w:r>
        <w:rPr>
          <w:color w:val="auto"/>
          <w:sz w:val="21"/>
        </w:rPr>
        <w:t xml:space="preserve"> </w:t>
      </w:r>
    </w:p>
    <w:p>
      <w:pPr>
        <w:pStyle w:val="8"/>
        <w:spacing w:before="6"/>
        <w:rPr>
          <w:color w:val="auto"/>
          <w:sz w:val="15"/>
        </w:rPr>
      </w:pPr>
    </w:p>
    <w:p>
      <w:pPr>
        <w:pStyle w:val="8"/>
        <w:spacing w:line="417" w:lineRule="auto"/>
        <w:ind w:left="212" w:right="426" w:firstLine="420"/>
        <w:rPr>
          <w:color w:val="auto"/>
        </w:rPr>
      </w:pPr>
      <w:r>
        <w:rPr>
          <w:color w:val="auto"/>
          <w:spacing w:val="-6"/>
        </w:rPr>
        <w:t>承包人应依照有关法律规定，为其履行合同所雇佣的全部人员投保工伤保险，缴纳工伤保险费，并要</w:t>
      </w:r>
      <w:r>
        <w:rPr>
          <w:color w:val="auto"/>
          <w:spacing w:val="-4"/>
        </w:rPr>
        <w:t xml:space="preserve">求其分包人也投保此项保险。 </w:t>
      </w:r>
    </w:p>
    <w:p>
      <w:pPr>
        <w:pStyle w:val="44"/>
        <w:numPr>
          <w:ilvl w:val="2"/>
          <w:numId w:val="22"/>
        </w:numPr>
        <w:tabs>
          <w:tab w:val="left" w:pos="1163"/>
        </w:tabs>
        <w:spacing w:before="1"/>
        <w:ind w:left="1162" w:hanging="530"/>
        <w:rPr>
          <w:rFonts w:ascii="Times New Roman" w:eastAsia="Times New Roman"/>
          <w:color w:val="auto"/>
          <w:sz w:val="19"/>
        </w:rPr>
      </w:pPr>
      <w:r>
        <w:rPr>
          <w:color w:val="auto"/>
          <w:spacing w:val="-3"/>
          <w:sz w:val="21"/>
        </w:rPr>
        <w:t>发包人员工伤保险</w:t>
      </w:r>
      <w:r>
        <w:rPr>
          <w:color w:val="auto"/>
          <w:sz w:val="21"/>
        </w:rPr>
        <w:t xml:space="preserve"> </w:t>
      </w:r>
    </w:p>
    <w:p>
      <w:pPr>
        <w:pStyle w:val="8"/>
        <w:spacing w:before="6"/>
        <w:rPr>
          <w:color w:val="auto"/>
          <w:sz w:val="15"/>
        </w:rPr>
      </w:pPr>
    </w:p>
    <w:p>
      <w:pPr>
        <w:pStyle w:val="8"/>
        <w:spacing w:before="1" w:line="417" w:lineRule="auto"/>
        <w:ind w:left="212" w:right="426" w:firstLine="420"/>
        <w:rPr>
          <w:color w:val="auto"/>
        </w:rPr>
      </w:pPr>
      <w:r>
        <w:rPr>
          <w:color w:val="auto"/>
          <w:spacing w:val="-6"/>
        </w:rPr>
        <w:t>发包人应依照有关法律规定，为其现场机构雇佣的全部人员投保工伤保险，缴纳工伤保险费，并要求</w:t>
      </w:r>
      <w:r>
        <w:rPr>
          <w:color w:val="auto"/>
          <w:spacing w:val="-4"/>
        </w:rPr>
        <w:t xml:space="preserve">其监理人也进行此项保险。 </w:t>
      </w:r>
    </w:p>
    <w:p>
      <w:pPr>
        <w:pStyle w:val="41"/>
        <w:numPr>
          <w:ilvl w:val="1"/>
          <w:numId w:val="22"/>
        </w:numPr>
        <w:tabs>
          <w:tab w:val="left" w:pos="754"/>
        </w:tabs>
        <w:spacing w:line="287" w:lineRule="exact"/>
        <w:ind w:hanging="542"/>
        <w:rPr>
          <w:rFonts w:ascii="Times New Roman" w:eastAsia="Times New Roman"/>
          <w:color w:val="auto"/>
        </w:rPr>
      </w:pPr>
      <w:bookmarkStart w:id="233" w:name="20.3_人身意外伤害险"/>
      <w:bookmarkEnd w:id="233"/>
      <w:r>
        <w:rPr>
          <w:color w:val="auto"/>
        </w:rPr>
        <w:t>人身意外伤害险</w:t>
      </w:r>
    </w:p>
    <w:p>
      <w:pPr>
        <w:pStyle w:val="44"/>
        <w:numPr>
          <w:ilvl w:val="2"/>
          <w:numId w:val="22"/>
        </w:numPr>
        <w:tabs>
          <w:tab w:val="left" w:pos="1163"/>
        </w:tabs>
        <w:spacing w:before="180" w:line="417" w:lineRule="auto"/>
        <w:ind w:left="212" w:right="404" w:firstLine="420"/>
        <w:rPr>
          <w:rFonts w:ascii="Times New Roman" w:eastAsia="Times New Roman"/>
          <w:color w:val="auto"/>
          <w:sz w:val="19"/>
        </w:rPr>
      </w:pPr>
      <w:r>
        <w:rPr>
          <w:color w:val="auto"/>
          <w:spacing w:val="-3"/>
          <w:sz w:val="21"/>
        </w:rPr>
        <w:t xml:space="preserve">发包人应在整个施工期间为其现场机构雇用的全部人员，投保人身意外伤害险，缴纳保险费， 并要求其监理人也进行此项保险。 </w:t>
      </w:r>
    </w:p>
    <w:p>
      <w:pPr>
        <w:pStyle w:val="44"/>
        <w:numPr>
          <w:ilvl w:val="2"/>
          <w:numId w:val="22"/>
        </w:numPr>
        <w:tabs>
          <w:tab w:val="left" w:pos="1163"/>
        </w:tabs>
        <w:spacing w:line="417" w:lineRule="auto"/>
        <w:ind w:left="212" w:right="404" w:firstLine="420"/>
        <w:rPr>
          <w:rFonts w:ascii="Times New Roman" w:eastAsia="Times New Roman"/>
          <w:color w:val="auto"/>
          <w:sz w:val="19"/>
        </w:rPr>
      </w:pPr>
      <w:r>
        <w:rPr>
          <w:color w:val="auto"/>
          <w:spacing w:val="-3"/>
          <w:sz w:val="21"/>
        </w:rPr>
        <w:t>承包人应在整个施工期间为其现场机构雇用的全部人员，投保人身意外伤害险，缴纳保险费， 并要求其分包人也进行此项保险。</w:t>
      </w:r>
      <w:r>
        <w:rPr>
          <w:color w:val="auto"/>
          <w:spacing w:val="-2"/>
          <w:sz w:val="21"/>
        </w:rPr>
        <w:t xml:space="preserve"> </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34" w:name="20.4_其他保险"/>
      <w:bookmarkEnd w:id="234"/>
      <w:r>
        <w:rPr>
          <w:color w:val="auto"/>
        </w:rPr>
        <w:t>其他保险</w:t>
      </w:r>
    </w:p>
    <w:p>
      <w:pPr>
        <w:pStyle w:val="8"/>
        <w:spacing w:before="181"/>
        <w:ind w:left="633"/>
        <w:rPr>
          <w:color w:val="auto"/>
        </w:rPr>
      </w:pPr>
      <w:r>
        <w:rPr>
          <w:color w:val="auto"/>
        </w:rPr>
        <w:t xml:space="preserve">除专用合同条款另有约定外，承包人应为其施工设备、进场的材料和工程设备等办理保险。 </w:t>
      </w:r>
    </w:p>
    <w:p>
      <w:pPr>
        <w:pStyle w:val="41"/>
        <w:numPr>
          <w:ilvl w:val="1"/>
          <w:numId w:val="22"/>
        </w:numPr>
        <w:tabs>
          <w:tab w:val="left" w:pos="754"/>
        </w:tabs>
        <w:spacing w:before="179"/>
        <w:ind w:hanging="542"/>
        <w:rPr>
          <w:rFonts w:ascii="Times New Roman" w:eastAsia="Times New Roman"/>
          <w:color w:val="auto"/>
        </w:rPr>
      </w:pPr>
      <w:bookmarkStart w:id="235" w:name="20.5_对各项保险的一般要求"/>
      <w:bookmarkEnd w:id="235"/>
      <w:r>
        <w:rPr>
          <w:color w:val="auto"/>
        </w:rPr>
        <w:t>对各项保险的一般要求</w:t>
      </w:r>
    </w:p>
    <w:p>
      <w:pPr>
        <w:pStyle w:val="44"/>
        <w:numPr>
          <w:ilvl w:val="2"/>
          <w:numId w:val="22"/>
        </w:numPr>
        <w:tabs>
          <w:tab w:val="left" w:pos="1163"/>
        </w:tabs>
        <w:spacing w:before="180"/>
        <w:ind w:left="1162" w:hanging="530"/>
        <w:rPr>
          <w:rFonts w:ascii="Times New Roman" w:eastAsia="Times New Roman"/>
          <w:color w:val="auto"/>
          <w:sz w:val="19"/>
        </w:rPr>
      </w:pPr>
      <w:r>
        <w:rPr>
          <w:color w:val="auto"/>
          <w:spacing w:val="-3"/>
          <w:sz w:val="21"/>
        </w:rPr>
        <w:t>保险凭证</w:t>
      </w:r>
      <w:r>
        <w:rPr>
          <w:color w:val="auto"/>
          <w:sz w:val="21"/>
        </w:rPr>
        <w:t xml:space="preserve"> </w:t>
      </w:r>
    </w:p>
    <w:p>
      <w:pPr>
        <w:pStyle w:val="8"/>
        <w:spacing w:before="7"/>
        <w:rPr>
          <w:color w:val="auto"/>
          <w:sz w:val="15"/>
        </w:rPr>
      </w:pPr>
    </w:p>
    <w:p>
      <w:pPr>
        <w:pStyle w:val="8"/>
        <w:spacing w:line="417" w:lineRule="auto"/>
        <w:ind w:left="212" w:right="402" w:firstLine="420"/>
        <w:rPr>
          <w:color w:val="auto"/>
        </w:rPr>
      </w:pPr>
      <w:r>
        <w:rPr>
          <w:color w:val="auto"/>
        </w:rPr>
        <w:t xml:space="preserve">承包人应在专用合同条款约定的期限内向发包人提交各项保险生效的证据和保险单副本，保险单必须与专用合同条款约定的条件保持一致。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 xml:space="preserve">保险合同条款的变动 </w:t>
      </w:r>
    </w:p>
    <w:p>
      <w:pPr>
        <w:pStyle w:val="8"/>
        <w:spacing w:before="7"/>
        <w:rPr>
          <w:color w:val="auto"/>
          <w:sz w:val="15"/>
        </w:rPr>
      </w:pPr>
    </w:p>
    <w:p>
      <w:pPr>
        <w:pStyle w:val="8"/>
        <w:spacing w:before="1" w:line="417" w:lineRule="auto"/>
        <w:ind w:left="212" w:right="428" w:firstLine="420"/>
        <w:rPr>
          <w:color w:val="auto"/>
        </w:rPr>
      </w:pPr>
      <w:r>
        <w:rPr>
          <w:color w:val="auto"/>
          <w:spacing w:val="-6"/>
        </w:rPr>
        <w:t>承包人需要变动保险合同条款时，应事先征得发包人同意，并通知监理人。保险人作出变动的，承包</w:t>
      </w:r>
      <w:r>
        <w:rPr>
          <w:color w:val="auto"/>
          <w:spacing w:val="-4"/>
        </w:rPr>
        <w:t xml:space="preserve">人应在收到保险人通知后立即通知发包人和监理人。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持续保险</w:t>
      </w:r>
      <w:r>
        <w:rPr>
          <w:color w:val="auto"/>
          <w:sz w:val="21"/>
        </w:rPr>
        <w:t xml:space="preserve"> </w:t>
      </w:r>
    </w:p>
    <w:p>
      <w:pPr>
        <w:pStyle w:val="8"/>
        <w:spacing w:before="6"/>
        <w:rPr>
          <w:color w:val="auto"/>
          <w:sz w:val="15"/>
        </w:rPr>
      </w:pPr>
    </w:p>
    <w:p>
      <w:pPr>
        <w:pStyle w:val="8"/>
        <w:spacing w:line="417" w:lineRule="auto"/>
        <w:ind w:left="212" w:right="426" w:firstLine="420"/>
        <w:rPr>
          <w:color w:val="auto"/>
        </w:rPr>
      </w:pPr>
      <w:r>
        <w:rPr>
          <w:color w:val="auto"/>
          <w:spacing w:val="-5"/>
        </w:rPr>
        <w:t>承包人应与保险人保持联系，使保险人能够随时了解工程实施中的变动，并确保按保险合同条款要求</w:t>
      </w:r>
      <w:r>
        <w:rPr>
          <w:color w:val="auto"/>
          <w:spacing w:val="-4"/>
        </w:rPr>
        <w:t>持续保险。</w:t>
      </w:r>
      <w:r>
        <w:rPr>
          <w:color w:val="auto"/>
        </w:rPr>
        <w:t xml:space="preserve">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保险金不足的补偿</w:t>
      </w:r>
      <w:r>
        <w:rPr>
          <w:color w:val="auto"/>
          <w:sz w:val="21"/>
        </w:rPr>
        <w:t xml:space="preserve"> </w:t>
      </w:r>
    </w:p>
    <w:p>
      <w:pPr>
        <w:spacing w:line="269" w:lineRule="exact"/>
        <w:rPr>
          <w:rFonts w:ascii="Times New Roman" w:eastAsia="Times New Roman"/>
          <w:color w:val="auto"/>
          <w:sz w:val="19"/>
        </w:rPr>
        <w:sectPr>
          <w:pgSz w:w="11910" w:h="16840"/>
          <w:pgMar w:top="1540" w:right="700" w:bottom="1180" w:left="920" w:header="0" w:footer="995" w:gutter="0"/>
          <w:cols w:space="720" w:num="1"/>
        </w:sectPr>
      </w:pPr>
    </w:p>
    <w:p>
      <w:pPr>
        <w:pStyle w:val="8"/>
        <w:spacing w:before="45"/>
        <w:ind w:left="633"/>
        <w:rPr>
          <w:color w:val="auto"/>
        </w:rPr>
      </w:pPr>
      <w:r>
        <w:rPr>
          <w:color w:val="auto"/>
        </w:rPr>
        <w:t xml:space="preserve">保险金不足以补偿损失的，应由承包人和（或）发包人按合同约定负责补偿。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 xml:space="preserve">未按约定投保的补救 </w:t>
      </w:r>
    </w:p>
    <w:p>
      <w:pPr>
        <w:pStyle w:val="8"/>
        <w:spacing w:before="7"/>
        <w:rPr>
          <w:color w:val="auto"/>
          <w:sz w:val="15"/>
        </w:rPr>
      </w:pPr>
    </w:p>
    <w:p>
      <w:pPr>
        <w:pStyle w:val="44"/>
        <w:numPr>
          <w:ilvl w:val="0"/>
          <w:numId w:val="54"/>
        </w:numPr>
        <w:tabs>
          <w:tab w:val="left" w:pos="1165"/>
        </w:tabs>
        <w:spacing w:line="417" w:lineRule="auto"/>
        <w:ind w:right="436" w:firstLine="420"/>
        <w:rPr>
          <w:color w:val="auto"/>
          <w:sz w:val="21"/>
        </w:rPr>
      </w:pPr>
      <w:r>
        <w:rPr>
          <w:color w:val="auto"/>
          <w:spacing w:val="-1"/>
          <w:sz w:val="21"/>
        </w:rPr>
        <w:t>由于负有投保义务的一方当事人未按合同约定办理保险，或未能使保险持续有效的，另一方当</w:t>
      </w:r>
      <w:r>
        <w:rPr>
          <w:color w:val="auto"/>
          <w:spacing w:val="-3"/>
          <w:sz w:val="21"/>
        </w:rPr>
        <w:t>事人可代为办理，所需费用由对方当事人承担。</w:t>
      </w:r>
      <w:r>
        <w:rPr>
          <w:color w:val="auto"/>
          <w:sz w:val="21"/>
        </w:rPr>
        <w:t xml:space="preserve"> </w:t>
      </w:r>
    </w:p>
    <w:p>
      <w:pPr>
        <w:pStyle w:val="44"/>
        <w:numPr>
          <w:ilvl w:val="0"/>
          <w:numId w:val="54"/>
        </w:numPr>
        <w:tabs>
          <w:tab w:val="left" w:pos="1165"/>
        </w:tabs>
        <w:spacing w:line="417" w:lineRule="auto"/>
        <w:ind w:right="436" w:firstLine="420"/>
        <w:rPr>
          <w:color w:val="auto"/>
          <w:sz w:val="21"/>
        </w:rPr>
      </w:pPr>
      <w:r>
        <w:rPr>
          <w:color w:val="auto"/>
          <w:spacing w:val="-1"/>
          <w:sz w:val="21"/>
        </w:rPr>
        <w:t>由于负有投保义务的一方当事人未按合同约定办理某项保险，导致受益人未能得到保险人的赔</w:t>
      </w:r>
      <w:r>
        <w:rPr>
          <w:color w:val="auto"/>
          <w:spacing w:val="-3"/>
          <w:sz w:val="21"/>
        </w:rPr>
        <w:t>偿，原应从该项保险得到的保险金应由负有投保义务的一方当事人支付。</w:t>
      </w:r>
      <w:r>
        <w:rPr>
          <w:color w:val="auto"/>
          <w:sz w:val="21"/>
        </w:rPr>
        <w:t xml:space="preserve">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报告义务</w:t>
      </w:r>
      <w:r>
        <w:rPr>
          <w:color w:val="auto"/>
          <w:sz w:val="21"/>
        </w:rPr>
        <w:t xml:space="preserve"> </w:t>
      </w:r>
    </w:p>
    <w:p>
      <w:pPr>
        <w:pStyle w:val="8"/>
        <w:spacing w:before="6"/>
        <w:rPr>
          <w:color w:val="auto"/>
          <w:sz w:val="15"/>
        </w:rPr>
      </w:pPr>
    </w:p>
    <w:p>
      <w:pPr>
        <w:pStyle w:val="8"/>
        <w:ind w:left="633"/>
        <w:rPr>
          <w:color w:val="auto"/>
        </w:rPr>
      </w:pPr>
      <w:r>
        <w:rPr>
          <w:color w:val="auto"/>
        </w:rPr>
        <w:t xml:space="preserve">当保险事故发生时，投保人应按照保险单规定的条件和期限及时向保险人报告。 </w:t>
      </w:r>
    </w:p>
    <w:p>
      <w:pPr>
        <w:pStyle w:val="8"/>
        <w:rPr>
          <w:color w:val="auto"/>
          <w:sz w:val="20"/>
        </w:rPr>
      </w:pPr>
    </w:p>
    <w:p>
      <w:pPr>
        <w:pStyle w:val="8"/>
        <w:spacing w:before="5"/>
        <w:rPr>
          <w:color w:val="auto"/>
          <w:sz w:val="16"/>
        </w:rPr>
      </w:pPr>
    </w:p>
    <w:p>
      <w:pPr>
        <w:pStyle w:val="37"/>
        <w:numPr>
          <w:ilvl w:val="0"/>
          <w:numId w:val="22"/>
        </w:numPr>
        <w:tabs>
          <w:tab w:val="left" w:pos="828"/>
        </w:tabs>
        <w:ind w:left="827" w:hanging="616"/>
        <w:jc w:val="both"/>
        <w:rPr>
          <w:rFonts w:ascii="Cambria" w:eastAsia="Cambria"/>
          <w:color w:val="auto"/>
        </w:rPr>
      </w:pPr>
      <w:bookmarkStart w:id="236" w:name="21._不可抗力"/>
      <w:bookmarkEnd w:id="236"/>
      <w:r>
        <w:rPr>
          <w:color w:val="auto"/>
        </w:rPr>
        <w:t>不可抗力</w:t>
      </w:r>
    </w:p>
    <w:p>
      <w:pPr>
        <w:pStyle w:val="8"/>
        <w:spacing w:before="12"/>
        <w:rPr>
          <w:b/>
          <w:color w:val="auto"/>
          <w:sz w:val="34"/>
        </w:rPr>
      </w:pPr>
    </w:p>
    <w:p>
      <w:pPr>
        <w:pStyle w:val="41"/>
        <w:numPr>
          <w:ilvl w:val="1"/>
          <w:numId w:val="22"/>
        </w:numPr>
        <w:tabs>
          <w:tab w:val="left" w:pos="754"/>
        </w:tabs>
        <w:ind w:hanging="542"/>
        <w:jc w:val="both"/>
        <w:rPr>
          <w:rFonts w:ascii="Times New Roman" w:eastAsia="Times New Roman"/>
          <w:color w:val="auto"/>
        </w:rPr>
      </w:pPr>
      <w:bookmarkStart w:id="237" w:name="21.1_不可抗力的确认"/>
      <w:bookmarkEnd w:id="237"/>
      <w:r>
        <w:rPr>
          <w:color w:val="auto"/>
        </w:rPr>
        <w:t>不可抗力的确认</w:t>
      </w:r>
    </w:p>
    <w:p>
      <w:pPr>
        <w:pStyle w:val="44"/>
        <w:numPr>
          <w:ilvl w:val="2"/>
          <w:numId w:val="22"/>
        </w:numPr>
        <w:tabs>
          <w:tab w:val="left" w:pos="1163"/>
        </w:tabs>
        <w:spacing w:before="181" w:line="417" w:lineRule="auto"/>
        <w:ind w:left="212" w:right="426" w:firstLine="420"/>
        <w:jc w:val="both"/>
        <w:rPr>
          <w:rFonts w:ascii="Times New Roman" w:eastAsia="Times New Roman"/>
          <w:color w:val="auto"/>
          <w:sz w:val="19"/>
        </w:rPr>
      </w:pPr>
      <w:r>
        <w:rPr>
          <w:color w:val="auto"/>
          <w:spacing w:val="-4"/>
          <w:sz w:val="21"/>
        </w:rPr>
        <w:t>不可抗力是指承包人和发包人在订立合同时不可预见，在履行合同过程中不可避免发生并不能</w:t>
      </w:r>
      <w:r>
        <w:rPr>
          <w:color w:val="auto"/>
          <w:spacing w:val="-5"/>
          <w:sz w:val="21"/>
        </w:rPr>
        <w:t>克服的自然灾害和社会性突发事件，如地震、海啸、瘟疫、水灾、骚乱、暴动、战争和专用合同条款约定</w:t>
      </w:r>
      <w:r>
        <w:rPr>
          <w:color w:val="auto"/>
          <w:spacing w:val="-4"/>
          <w:sz w:val="21"/>
        </w:rPr>
        <w:t>的其他情形。</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6"/>
          <w:sz w:val="21"/>
        </w:rPr>
        <w:t>不可抗力发生后，发包人和承包人应及时认真统计所造成的损失，收集不可抗力造成损失的证</w:t>
      </w:r>
      <w:r>
        <w:rPr>
          <w:color w:val="auto"/>
          <w:spacing w:val="-7"/>
          <w:sz w:val="21"/>
        </w:rPr>
        <w:t xml:space="preserve">据。合同双方对是否属于不可抗力或其损失的意见不一致的，由监理人按第 </w:t>
      </w:r>
      <w:r>
        <w:rPr>
          <w:rFonts w:ascii="Times New Roman" w:eastAsia="Times New Roman"/>
          <w:color w:val="auto"/>
          <w:sz w:val="21"/>
        </w:rPr>
        <w:t>3.5</w:t>
      </w:r>
      <w:r>
        <w:rPr>
          <w:rFonts w:ascii="Times New Roman" w:eastAsia="Times New Roman"/>
          <w:color w:val="auto"/>
          <w:spacing w:val="33"/>
          <w:sz w:val="21"/>
        </w:rPr>
        <w:t xml:space="preserve"> </w:t>
      </w:r>
      <w:r>
        <w:rPr>
          <w:color w:val="auto"/>
          <w:spacing w:val="-4"/>
          <w:sz w:val="21"/>
        </w:rPr>
        <w:t>款商定或确定。发生争议</w:t>
      </w:r>
      <w:r>
        <w:rPr>
          <w:color w:val="auto"/>
          <w:spacing w:val="-13"/>
          <w:sz w:val="21"/>
        </w:rPr>
        <w:t xml:space="preserve">时，按第 </w:t>
      </w:r>
      <w:r>
        <w:rPr>
          <w:color w:val="auto"/>
          <w:sz w:val="21"/>
        </w:rPr>
        <w:t>24</w:t>
      </w:r>
      <w:r>
        <w:rPr>
          <w:color w:val="auto"/>
          <w:spacing w:val="-9"/>
          <w:sz w:val="21"/>
        </w:rPr>
        <w:t xml:space="preserve"> 条的约定执行。 </w:t>
      </w:r>
    </w:p>
    <w:p>
      <w:pPr>
        <w:pStyle w:val="41"/>
        <w:numPr>
          <w:ilvl w:val="1"/>
          <w:numId w:val="22"/>
        </w:numPr>
        <w:tabs>
          <w:tab w:val="left" w:pos="754"/>
        </w:tabs>
        <w:spacing w:line="285" w:lineRule="exact"/>
        <w:ind w:hanging="542"/>
        <w:jc w:val="both"/>
        <w:rPr>
          <w:rFonts w:ascii="Times New Roman" w:eastAsia="Times New Roman"/>
          <w:color w:val="auto"/>
        </w:rPr>
      </w:pPr>
      <w:bookmarkStart w:id="238" w:name="21.2_不可抗力的通知"/>
      <w:bookmarkEnd w:id="238"/>
      <w:r>
        <w:rPr>
          <w:color w:val="auto"/>
        </w:rPr>
        <w:t>不可抗力的通知</w:t>
      </w:r>
    </w:p>
    <w:p>
      <w:pPr>
        <w:pStyle w:val="44"/>
        <w:numPr>
          <w:ilvl w:val="2"/>
          <w:numId w:val="22"/>
        </w:numPr>
        <w:tabs>
          <w:tab w:val="left" w:pos="1163"/>
        </w:tabs>
        <w:spacing w:before="181" w:line="417" w:lineRule="auto"/>
        <w:ind w:left="212" w:right="426" w:firstLine="420"/>
        <w:rPr>
          <w:rFonts w:ascii="Times New Roman" w:eastAsia="Times New Roman"/>
          <w:color w:val="auto"/>
          <w:sz w:val="19"/>
        </w:rPr>
      </w:pPr>
      <w:r>
        <w:rPr>
          <w:color w:val="auto"/>
          <w:spacing w:val="-5"/>
          <w:sz w:val="21"/>
        </w:rPr>
        <w:t>合同一方当事人遇到不可抗力事件，使其履行合同义务受到阻碍时，应立即通知合同另一方当</w:t>
      </w:r>
      <w:r>
        <w:rPr>
          <w:color w:val="auto"/>
          <w:spacing w:val="-4"/>
          <w:sz w:val="21"/>
        </w:rPr>
        <w:t xml:space="preserve">事人和监理人，书面说明不可抗力和受阻碍的详细情况，并提供必要的证明。 </w:t>
      </w:r>
    </w:p>
    <w:p>
      <w:pPr>
        <w:pStyle w:val="44"/>
        <w:numPr>
          <w:ilvl w:val="2"/>
          <w:numId w:val="22"/>
        </w:numPr>
        <w:tabs>
          <w:tab w:val="left" w:pos="1265"/>
        </w:tabs>
        <w:spacing w:line="417" w:lineRule="auto"/>
        <w:ind w:left="212" w:right="426" w:firstLine="420"/>
        <w:rPr>
          <w:rFonts w:ascii="Times New Roman" w:eastAsia="Times New Roman"/>
          <w:color w:val="auto"/>
          <w:sz w:val="21"/>
        </w:rPr>
      </w:pPr>
      <w:r>
        <w:rPr>
          <w:color w:val="auto"/>
          <w:spacing w:val="-5"/>
          <w:sz w:val="21"/>
        </w:rPr>
        <w:t>如不可抗力持续发生，合同一方当事人应及时向合同另一方当事人和监理人提交中间报告，说</w:t>
      </w:r>
      <w:r>
        <w:rPr>
          <w:color w:val="auto"/>
          <w:spacing w:val="-6"/>
          <w:sz w:val="21"/>
        </w:rPr>
        <w:t xml:space="preserve">明不可抗力和履行合同受阻的情况，并于不可抗力事件结束后 </w:t>
      </w:r>
      <w:r>
        <w:rPr>
          <w:color w:val="auto"/>
          <w:sz w:val="21"/>
        </w:rPr>
        <w:t>28</w:t>
      </w:r>
      <w:r>
        <w:rPr>
          <w:color w:val="auto"/>
          <w:spacing w:val="-9"/>
          <w:sz w:val="21"/>
        </w:rPr>
        <w:t xml:space="preserve"> 天内提交最终报告及有关资料。</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39" w:name="21.3_不可抗力后果及其处理"/>
      <w:bookmarkEnd w:id="239"/>
      <w:r>
        <w:rPr>
          <w:color w:val="auto"/>
        </w:rPr>
        <w:t>不可抗力后果及其处理</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不可抗力造成损害的责任</w:t>
      </w:r>
      <w:r>
        <w:rPr>
          <w:color w:val="auto"/>
          <w:sz w:val="21"/>
        </w:rPr>
        <w:t xml:space="preserve"> </w:t>
      </w:r>
    </w:p>
    <w:p>
      <w:pPr>
        <w:pStyle w:val="8"/>
        <w:spacing w:before="6"/>
        <w:rPr>
          <w:color w:val="auto"/>
          <w:sz w:val="15"/>
        </w:rPr>
      </w:pPr>
    </w:p>
    <w:p>
      <w:pPr>
        <w:pStyle w:val="8"/>
        <w:spacing w:line="417" w:lineRule="auto"/>
        <w:ind w:left="212" w:right="416" w:firstLine="420"/>
        <w:rPr>
          <w:color w:val="auto"/>
        </w:rPr>
      </w:pPr>
      <w:r>
        <w:rPr>
          <w:color w:val="auto"/>
        </w:rPr>
        <w:t xml:space="preserve">除专用合同条款另有约定外，不可抗力导致的人员伤亡、财产损失、费用增加和（或）工期延误等后果，由合同双方按以下原则承担： </w:t>
      </w:r>
    </w:p>
    <w:p>
      <w:pPr>
        <w:pStyle w:val="44"/>
        <w:numPr>
          <w:ilvl w:val="0"/>
          <w:numId w:val="55"/>
        </w:numPr>
        <w:tabs>
          <w:tab w:val="left" w:pos="1165"/>
        </w:tabs>
        <w:spacing w:line="417" w:lineRule="auto"/>
        <w:ind w:right="436" w:firstLine="420"/>
        <w:rPr>
          <w:color w:val="auto"/>
          <w:sz w:val="21"/>
        </w:rPr>
      </w:pPr>
      <w:r>
        <w:rPr>
          <w:color w:val="auto"/>
          <w:spacing w:val="-1"/>
          <w:sz w:val="21"/>
        </w:rPr>
        <w:t>永久工程，包括已运至施工场地的材料和工程设备的损害，以及因工程损害造成的第三者人员</w:t>
      </w:r>
      <w:r>
        <w:rPr>
          <w:color w:val="auto"/>
          <w:spacing w:val="-3"/>
          <w:sz w:val="21"/>
        </w:rPr>
        <w:t>伤亡和财产损失由发包人承担；</w:t>
      </w:r>
    </w:p>
    <w:p>
      <w:pPr>
        <w:pStyle w:val="44"/>
        <w:numPr>
          <w:ilvl w:val="0"/>
          <w:numId w:val="55"/>
        </w:numPr>
        <w:tabs>
          <w:tab w:val="left" w:pos="1163"/>
        </w:tabs>
        <w:spacing w:line="269" w:lineRule="exact"/>
        <w:ind w:left="1162" w:hanging="530"/>
        <w:rPr>
          <w:color w:val="auto"/>
          <w:sz w:val="21"/>
        </w:rPr>
      </w:pPr>
      <w:r>
        <w:rPr>
          <w:color w:val="auto"/>
          <w:spacing w:val="-3"/>
          <w:sz w:val="21"/>
        </w:rPr>
        <w:t>承包人设备的损坏由承包人承担；</w:t>
      </w:r>
    </w:p>
    <w:p>
      <w:pPr>
        <w:spacing w:line="269" w:lineRule="exact"/>
        <w:rPr>
          <w:color w:val="auto"/>
          <w:sz w:val="21"/>
        </w:rPr>
        <w:sectPr>
          <w:pgSz w:w="11910" w:h="16840"/>
          <w:pgMar w:top="1560" w:right="700" w:bottom="1180" w:left="920" w:header="0" w:footer="995" w:gutter="0"/>
          <w:cols w:space="720" w:num="1"/>
        </w:sectPr>
      </w:pPr>
    </w:p>
    <w:p>
      <w:pPr>
        <w:pStyle w:val="44"/>
        <w:numPr>
          <w:ilvl w:val="0"/>
          <w:numId w:val="55"/>
        </w:numPr>
        <w:tabs>
          <w:tab w:val="left" w:pos="1163"/>
        </w:tabs>
        <w:spacing w:before="65"/>
        <w:ind w:left="1162" w:hanging="530"/>
        <w:rPr>
          <w:color w:val="auto"/>
          <w:sz w:val="21"/>
        </w:rPr>
      </w:pPr>
      <w:r>
        <w:rPr>
          <w:color w:val="auto"/>
          <w:spacing w:val="-3"/>
          <w:sz w:val="21"/>
        </w:rPr>
        <w:t>发包人和承包人各自承担其人员伤亡和其他财产损失及其相关费用；</w:t>
      </w:r>
    </w:p>
    <w:p>
      <w:pPr>
        <w:pStyle w:val="8"/>
        <w:spacing w:before="7"/>
        <w:rPr>
          <w:color w:val="auto"/>
          <w:sz w:val="15"/>
        </w:rPr>
      </w:pPr>
    </w:p>
    <w:p>
      <w:pPr>
        <w:pStyle w:val="44"/>
        <w:numPr>
          <w:ilvl w:val="0"/>
          <w:numId w:val="55"/>
        </w:numPr>
        <w:tabs>
          <w:tab w:val="left" w:pos="1165"/>
        </w:tabs>
        <w:spacing w:line="417" w:lineRule="auto"/>
        <w:ind w:right="436" w:firstLine="420"/>
        <w:rPr>
          <w:color w:val="auto"/>
          <w:sz w:val="21"/>
        </w:rPr>
      </w:pPr>
      <w:r>
        <w:rPr>
          <w:color w:val="auto"/>
          <w:spacing w:val="-1"/>
          <w:sz w:val="21"/>
        </w:rPr>
        <w:t>承包人的停工损失由承包人承担，但停工期间应监理人要求照管工程和清理、修复工程的金额</w:t>
      </w:r>
      <w:r>
        <w:rPr>
          <w:color w:val="auto"/>
          <w:spacing w:val="-2"/>
          <w:sz w:val="21"/>
        </w:rPr>
        <w:t>由发包人承担；</w:t>
      </w:r>
    </w:p>
    <w:p>
      <w:pPr>
        <w:pStyle w:val="44"/>
        <w:numPr>
          <w:ilvl w:val="0"/>
          <w:numId w:val="55"/>
        </w:numPr>
        <w:tabs>
          <w:tab w:val="left" w:pos="1165"/>
        </w:tabs>
        <w:spacing w:line="417" w:lineRule="auto"/>
        <w:ind w:right="435" w:firstLine="420"/>
        <w:rPr>
          <w:color w:val="auto"/>
          <w:sz w:val="21"/>
        </w:rPr>
      </w:pPr>
      <w:r>
        <w:rPr>
          <w:color w:val="auto"/>
          <w:spacing w:val="-1"/>
          <w:sz w:val="21"/>
        </w:rPr>
        <w:t>不能按期竣工的，应合理延长工期，承包人不需支付逾期竣工违约金。发包人要求赶工的，承</w:t>
      </w:r>
      <w:r>
        <w:rPr>
          <w:color w:val="auto"/>
          <w:spacing w:val="-3"/>
          <w:sz w:val="21"/>
        </w:rPr>
        <w:t>包人应采取赶工措施，赶工费用由发包人承担。</w:t>
      </w:r>
      <w:r>
        <w:rPr>
          <w:color w:val="auto"/>
          <w:sz w:val="21"/>
        </w:rPr>
        <w:t xml:space="preserve">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延迟履行期间发生的不可抗力</w:t>
      </w:r>
      <w:r>
        <w:rPr>
          <w:color w:val="auto"/>
          <w:sz w:val="21"/>
        </w:rPr>
        <w:t xml:space="preserve"> </w:t>
      </w:r>
    </w:p>
    <w:p>
      <w:pPr>
        <w:pStyle w:val="8"/>
        <w:spacing w:before="6"/>
        <w:rPr>
          <w:color w:val="auto"/>
          <w:sz w:val="15"/>
        </w:rPr>
      </w:pPr>
    </w:p>
    <w:p>
      <w:pPr>
        <w:pStyle w:val="8"/>
        <w:ind w:left="633"/>
        <w:rPr>
          <w:color w:val="auto"/>
        </w:rPr>
      </w:pPr>
      <w:r>
        <w:rPr>
          <w:color w:val="auto"/>
        </w:rPr>
        <w:t xml:space="preserve">合同一方当事人延迟履行，在延迟履行期间发生不可抗力的，不免除其责任。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避免和减少不可抗力损失</w:t>
      </w:r>
      <w:r>
        <w:rPr>
          <w:color w:val="auto"/>
          <w:sz w:val="21"/>
        </w:rPr>
        <w:t xml:space="preserve"> </w:t>
      </w:r>
    </w:p>
    <w:p>
      <w:pPr>
        <w:pStyle w:val="8"/>
        <w:spacing w:before="7"/>
        <w:rPr>
          <w:color w:val="auto"/>
          <w:sz w:val="15"/>
        </w:rPr>
      </w:pPr>
    </w:p>
    <w:p>
      <w:pPr>
        <w:pStyle w:val="8"/>
        <w:spacing w:before="1" w:line="417" w:lineRule="auto"/>
        <w:ind w:left="212" w:right="426" w:firstLine="420"/>
        <w:rPr>
          <w:color w:val="auto"/>
        </w:rPr>
      </w:pPr>
      <w:r>
        <w:rPr>
          <w:color w:val="auto"/>
          <w:spacing w:val="-6"/>
        </w:rPr>
        <w:t>不可抗力发生后，发包人和承包人均应采取措施尽量避免和减少损失的扩大，任何一方没有采取有效</w:t>
      </w:r>
      <w:r>
        <w:rPr>
          <w:color w:val="auto"/>
          <w:spacing w:val="-4"/>
        </w:rPr>
        <w:t>措施导致损失扩大的，应对扩大的损失承担责任。</w:t>
      </w:r>
      <w:r>
        <w:rPr>
          <w:color w:val="auto"/>
        </w:rPr>
        <w:t xml:space="preserve"> </w:t>
      </w:r>
    </w:p>
    <w:p>
      <w:pPr>
        <w:pStyle w:val="44"/>
        <w:numPr>
          <w:ilvl w:val="2"/>
          <w:numId w:val="22"/>
        </w:numPr>
        <w:tabs>
          <w:tab w:val="left" w:pos="1265"/>
        </w:tabs>
        <w:spacing w:line="269" w:lineRule="exact"/>
        <w:ind w:left="1264" w:hanging="632"/>
        <w:rPr>
          <w:rFonts w:ascii="Times New Roman" w:eastAsia="Times New Roman"/>
          <w:color w:val="auto"/>
          <w:sz w:val="21"/>
        </w:rPr>
      </w:pPr>
      <w:r>
        <w:rPr>
          <w:color w:val="auto"/>
          <w:spacing w:val="-3"/>
          <w:sz w:val="21"/>
        </w:rPr>
        <w:t xml:space="preserve">因不可抗力解除合同 </w:t>
      </w:r>
    </w:p>
    <w:p>
      <w:pPr>
        <w:pStyle w:val="8"/>
        <w:spacing w:before="6"/>
        <w:rPr>
          <w:color w:val="auto"/>
          <w:sz w:val="15"/>
        </w:rPr>
      </w:pPr>
    </w:p>
    <w:p>
      <w:pPr>
        <w:pStyle w:val="8"/>
        <w:spacing w:line="417" w:lineRule="auto"/>
        <w:ind w:left="212" w:right="426" w:firstLine="420"/>
        <w:jc w:val="both"/>
        <w:rPr>
          <w:color w:val="auto"/>
        </w:rPr>
      </w:pPr>
      <w:r>
        <w:rPr>
          <w:color w:val="auto"/>
          <w:spacing w:val="-6"/>
        </w:rPr>
        <w:t>合同一方当事人因不可抗力不能履行合同的，应当及时通知对方解除合同。合同解除后，承包人应按</w:t>
      </w:r>
      <w:r>
        <w:rPr>
          <w:color w:val="auto"/>
          <w:spacing w:val="-17"/>
        </w:rPr>
        <w:t xml:space="preserve">照第 </w:t>
      </w:r>
      <w:r>
        <w:rPr>
          <w:rFonts w:ascii="Times New Roman" w:eastAsia="Times New Roman"/>
          <w:color w:val="auto"/>
        </w:rPr>
        <w:t xml:space="preserve">22.2.4 </w:t>
      </w:r>
      <w:r>
        <w:rPr>
          <w:color w:val="auto"/>
          <w:spacing w:val="-9"/>
        </w:rPr>
        <w:t>项约定撤离施工场地。已经订货的材料、设备由订货方负责退货或解除订货合同，不能退还的</w:t>
      </w:r>
      <w:r>
        <w:rPr>
          <w:color w:val="auto"/>
          <w:spacing w:val="-8"/>
        </w:rPr>
        <w:t>货款和因退货、解除订货合同发生的费用，由发包人承担，因未及时退货造成的损失由责任方承担。合同</w:t>
      </w:r>
      <w:r>
        <w:rPr>
          <w:color w:val="auto"/>
          <w:spacing w:val="-10"/>
        </w:rPr>
        <w:t xml:space="preserve">解除后的付款，参照第 </w:t>
      </w:r>
      <w:r>
        <w:rPr>
          <w:rFonts w:ascii="Times New Roman" w:eastAsia="Times New Roman"/>
          <w:color w:val="auto"/>
        </w:rPr>
        <w:t xml:space="preserve">22.2.3 </w:t>
      </w:r>
      <w:r>
        <w:rPr>
          <w:color w:val="auto"/>
          <w:spacing w:val="-8"/>
        </w:rPr>
        <w:t xml:space="preserve">项约定，由监理人按第 </w:t>
      </w:r>
      <w:r>
        <w:rPr>
          <w:rFonts w:ascii="Times New Roman" w:eastAsia="Times New Roman"/>
          <w:color w:val="auto"/>
        </w:rPr>
        <w:t>3.5</w:t>
      </w:r>
      <w:r>
        <w:rPr>
          <w:rFonts w:ascii="Times New Roman" w:eastAsia="Times New Roman"/>
          <w:color w:val="auto"/>
          <w:spacing w:val="51"/>
        </w:rPr>
        <w:t xml:space="preserve"> </w:t>
      </w:r>
      <w:r>
        <w:rPr>
          <w:color w:val="auto"/>
          <w:spacing w:val="-3"/>
        </w:rPr>
        <w:t>款商定或确定。</w:t>
      </w:r>
      <w:r>
        <w:rPr>
          <w:color w:val="auto"/>
        </w:rPr>
        <w:t xml:space="preserve"> </w:t>
      </w:r>
    </w:p>
    <w:p>
      <w:pPr>
        <w:pStyle w:val="8"/>
        <w:spacing w:before="10"/>
        <w:rPr>
          <w:color w:val="auto"/>
          <w:sz w:val="20"/>
        </w:rPr>
      </w:pPr>
    </w:p>
    <w:p>
      <w:pPr>
        <w:pStyle w:val="37"/>
        <w:numPr>
          <w:ilvl w:val="0"/>
          <w:numId w:val="22"/>
        </w:numPr>
        <w:tabs>
          <w:tab w:val="left" w:pos="828"/>
        </w:tabs>
        <w:spacing w:before="1"/>
        <w:ind w:left="827" w:hanging="616"/>
        <w:rPr>
          <w:rFonts w:ascii="Cambria" w:eastAsia="Cambria"/>
          <w:color w:val="auto"/>
        </w:rPr>
      </w:pPr>
      <w:bookmarkStart w:id="240" w:name="22._违约"/>
      <w:bookmarkEnd w:id="240"/>
      <w:r>
        <w:rPr>
          <w:color w:val="auto"/>
        </w:rPr>
        <w:t>违约</w:t>
      </w:r>
    </w:p>
    <w:p>
      <w:pPr>
        <w:pStyle w:val="8"/>
        <w:spacing w:before="9"/>
        <w:rPr>
          <w:b/>
          <w:color w:val="auto"/>
          <w:sz w:val="34"/>
        </w:rPr>
      </w:pPr>
    </w:p>
    <w:p>
      <w:pPr>
        <w:pStyle w:val="41"/>
        <w:numPr>
          <w:ilvl w:val="1"/>
          <w:numId w:val="22"/>
        </w:numPr>
        <w:tabs>
          <w:tab w:val="left" w:pos="754"/>
        </w:tabs>
        <w:ind w:hanging="542"/>
        <w:rPr>
          <w:rFonts w:ascii="Times New Roman" w:eastAsia="Times New Roman"/>
          <w:color w:val="auto"/>
        </w:rPr>
      </w:pPr>
      <w:bookmarkStart w:id="241" w:name="22.1_承包人违约"/>
      <w:bookmarkEnd w:id="241"/>
      <w:r>
        <w:rPr>
          <w:color w:val="auto"/>
        </w:rPr>
        <w:t>承包人违约</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3"/>
          <w:sz w:val="21"/>
        </w:rPr>
        <w:t>承包人违约的情形</w:t>
      </w:r>
      <w:r>
        <w:rPr>
          <w:color w:val="auto"/>
          <w:sz w:val="21"/>
        </w:rPr>
        <w:t xml:space="preserve"> </w:t>
      </w:r>
    </w:p>
    <w:p>
      <w:pPr>
        <w:pStyle w:val="8"/>
        <w:spacing w:before="7"/>
        <w:rPr>
          <w:color w:val="auto"/>
          <w:sz w:val="15"/>
        </w:rPr>
      </w:pPr>
    </w:p>
    <w:p>
      <w:pPr>
        <w:pStyle w:val="8"/>
        <w:ind w:left="633"/>
        <w:rPr>
          <w:color w:val="auto"/>
        </w:rPr>
      </w:pPr>
      <w:r>
        <w:rPr>
          <w:color w:val="auto"/>
        </w:rPr>
        <w:t xml:space="preserve">在履行合同过程中发生的下列情况之一的，属承包人违约： </w:t>
      </w:r>
    </w:p>
    <w:p>
      <w:pPr>
        <w:pStyle w:val="8"/>
        <w:spacing w:before="6"/>
        <w:rPr>
          <w:color w:val="auto"/>
          <w:sz w:val="15"/>
        </w:rPr>
      </w:pPr>
    </w:p>
    <w:p>
      <w:pPr>
        <w:pStyle w:val="44"/>
        <w:numPr>
          <w:ilvl w:val="0"/>
          <w:numId w:val="56"/>
        </w:numPr>
        <w:tabs>
          <w:tab w:val="left" w:pos="1163"/>
        </w:tabs>
        <w:spacing w:before="1"/>
        <w:ind w:hanging="530"/>
        <w:rPr>
          <w:color w:val="auto"/>
          <w:sz w:val="21"/>
        </w:rPr>
      </w:pPr>
      <w:r>
        <w:rPr>
          <w:color w:val="auto"/>
          <w:spacing w:val="-3"/>
          <w:sz w:val="21"/>
        </w:rPr>
        <w:t>承包人的设计、承包人文件、实施和竣工的工程不符合法律以及合同约定；</w:t>
      </w:r>
    </w:p>
    <w:p>
      <w:pPr>
        <w:pStyle w:val="8"/>
        <w:spacing w:before="6"/>
        <w:rPr>
          <w:color w:val="auto"/>
          <w:sz w:val="15"/>
        </w:rPr>
      </w:pPr>
    </w:p>
    <w:p>
      <w:pPr>
        <w:pStyle w:val="44"/>
        <w:numPr>
          <w:ilvl w:val="0"/>
          <w:numId w:val="56"/>
        </w:numPr>
        <w:tabs>
          <w:tab w:val="left" w:pos="1163"/>
        </w:tabs>
        <w:spacing w:line="417" w:lineRule="auto"/>
        <w:ind w:left="212" w:right="426" w:firstLine="420"/>
        <w:rPr>
          <w:color w:val="auto"/>
          <w:sz w:val="21"/>
        </w:rPr>
      </w:pPr>
      <w:r>
        <w:rPr>
          <w:color w:val="auto"/>
          <w:spacing w:val="-3"/>
          <w:sz w:val="21"/>
        </w:rPr>
        <w:t xml:space="preserve">承包人违反第 </w:t>
      </w:r>
      <w:r>
        <w:rPr>
          <w:rFonts w:ascii="Times New Roman" w:eastAsia="Times New Roman"/>
          <w:color w:val="auto"/>
          <w:sz w:val="21"/>
        </w:rPr>
        <w:t>1.8</w:t>
      </w:r>
      <w:r>
        <w:rPr>
          <w:rFonts w:ascii="Times New Roman" w:eastAsia="Times New Roman"/>
          <w:color w:val="auto"/>
          <w:spacing w:val="9"/>
          <w:sz w:val="21"/>
        </w:rPr>
        <w:t xml:space="preserve"> </w:t>
      </w:r>
      <w:r>
        <w:rPr>
          <w:color w:val="auto"/>
          <w:spacing w:val="-1"/>
          <w:sz w:val="21"/>
        </w:rPr>
        <w:t xml:space="preserve">款或第 </w:t>
      </w:r>
      <w:r>
        <w:rPr>
          <w:rFonts w:ascii="Times New Roman" w:eastAsia="Times New Roman"/>
          <w:color w:val="auto"/>
          <w:sz w:val="21"/>
        </w:rPr>
        <w:t>4.3</w:t>
      </w:r>
      <w:r>
        <w:rPr>
          <w:rFonts w:ascii="Times New Roman" w:eastAsia="Times New Roman"/>
          <w:color w:val="auto"/>
          <w:spacing w:val="9"/>
          <w:sz w:val="21"/>
        </w:rPr>
        <w:t xml:space="preserve"> </w:t>
      </w:r>
      <w:r>
        <w:rPr>
          <w:color w:val="auto"/>
          <w:spacing w:val="-3"/>
          <w:sz w:val="21"/>
        </w:rPr>
        <w:t>款的约定，私自将合同的全部或部分权利转让给其他人，或私自将合同的全部或部分义务转移给其他人；</w:t>
      </w:r>
    </w:p>
    <w:p>
      <w:pPr>
        <w:pStyle w:val="44"/>
        <w:numPr>
          <w:ilvl w:val="0"/>
          <w:numId w:val="56"/>
        </w:numPr>
        <w:tabs>
          <w:tab w:val="left" w:pos="1163"/>
        </w:tabs>
        <w:spacing w:before="1" w:line="417" w:lineRule="auto"/>
        <w:ind w:left="212" w:right="426" w:firstLine="420"/>
        <w:rPr>
          <w:color w:val="auto"/>
          <w:sz w:val="21"/>
        </w:rPr>
      </w:pPr>
      <w:r>
        <w:rPr>
          <w:color w:val="auto"/>
          <w:spacing w:val="-3"/>
          <w:sz w:val="21"/>
        </w:rPr>
        <w:t xml:space="preserve">承包人违反第 </w:t>
      </w:r>
      <w:r>
        <w:rPr>
          <w:rFonts w:ascii="Times New Roman" w:eastAsia="Times New Roman"/>
          <w:color w:val="auto"/>
          <w:sz w:val="21"/>
        </w:rPr>
        <w:t>6.3</w:t>
      </w:r>
      <w:r>
        <w:rPr>
          <w:rFonts w:ascii="Times New Roman" w:eastAsia="Times New Roman"/>
          <w:color w:val="auto"/>
          <w:spacing w:val="9"/>
          <w:sz w:val="21"/>
        </w:rPr>
        <w:t xml:space="preserve"> </w:t>
      </w:r>
      <w:r>
        <w:rPr>
          <w:color w:val="auto"/>
          <w:spacing w:val="-1"/>
          <w:sz w:val="21"/>
        </w:rPr>
        <w:t xml:space="preserve">款或第 </w:t>
      </w:r>
      <w:r>
        <w:rPr>
          <w:rFonts w:ascii="Times New Roman" w:eastAsia="Times New Roman"/>
          <w:color w:val="auto"/>
          <w:sz w:val="21"/>
        </w:rPr>
        <w:t>7.4</w:t>
      </w:r>
      <w:r>
        <w:rPr>
          <w:rFonts w:ascii="Times New Roman" w:eastAsia="Times New Roman"/>
          <w:color w:val="auto"/>
          <w:spacing w:val="9"/>
          <w:sz w:val="21"/>
        </w:rPr>
        <w:t xml:space="preserve"> </w:t>
      </w:r>
      <w:r>
        <w:rPr>
          <w:color w:val="auto"/>
          <w:spacing w:val="-3"/>
          <w:sz w:val="21"/>
        </w:rPr>
        <w:t>款的约定，未经监理人批准，私自将已按合同约定进入施工场地的施工设备、临时设施或材料撤离施工场地；</w:t>
      </w:r>
    </w:p>
    <w:p>
      <w:pPr>
        <w:pStyle w:val="44"/>
        <w:numPr>
          <w:ilvl w:val="0"/>
          <w:numId w:val="56"/>
        </w:numPr>
        <w:tabs>
          <w:tab w:val="left" w:pos="1163"/>
        </w:tabs>
        <w:spacing w:line="417" w:lineRule="auto"/>
        <w:ind w:left="212" w:right="427" w:firstLine="420"/>
        <w:rPr>
          <w:color w:val="auto"/>
          <w:sz w:val="21"/>
        </w:rPr>
      </w:pPr>
      <w:r>
        <w:rPr>
          <w:color w:val="auto"/>
          <w:spacing w:val="2"/>
          <w:sz w:val="21"/>
        </w:rPr>
        <w:t xml:space="preserve">承包人违反第 </w:t>
      </w:r>
      <w:r>
        <w:rPr>
          <w:rFonts w:ascii="Times New Roman" w:eastAsia="Times New Roman"/>
          <w:color w:val="auto"/>
          <w:sz w:val="21"/>
        </w:rPr>
        <w:t>6.5</w:t>
      </w:r>
      <w:r>
        <w:rPr>
          <w:rFonts w:ascii="Times New Roman" w:eastAsia="Times New Roman"/>
          <w:color w:val="auto"/>
          <w:spacing w:val="20"/>
          <w:sz w:val="21"/>
        </w:rPr>
        <w:t xml:space="preserve"> </w:t>
      </w:r>
      <w:r>
        <w:rPr>
          <w:color w:val="auto"/>
          <w:spacing w:val="-4"/>
          <w:sz w:val="21"/>
        </w:rPr>
        <w:t>款的约定使用了不合格材料或工程设备，工程质量达不到标准要求，又拒绝</w:t>
      </w:r>
      <w:r>
        <w:rPr>
          <w:color w:val="auto"/>
          <w:spacing w:val="-3"/>
          <w:sz w:val="21"/>
        </w:rPr>
        <w:t>清除不合格工程；</w:t>
      </w:r>
    </w:p>
    <w:p>
      <w:pPr>
        <w:pStyle w:val="44"/>
        <w:numPr>
          <w:ilvl w:val="0"/>
          <w:numId w:val="56"/>
        </w:numPr>
        <w:tabs>
          <w:tab w:val="left" w:pos="1163"/>
        </w:tabs>
        <w:spacing w:line="269" w:lineRule="exact"/>
        <w:ind w:hanging="530"/>
        <w:rPr>
          <w:color w:val="auto"/>
          <w:sz w:val="21"/>
        </w:rPr>
      </w:pPr>
      <w:r>
        <w:rPr>
          <w:color w:val="auto"/>
          <w:spacing w:val="-3"/>
          <w:sz w:val="21"/>
        </w:rPr>
        <w:t>承包人未能按合同进度计划及时完成合同约定的工作，造成工期延误；</w:t>
      </w:r>
    </w:p>
    <w:p>
      <w:pPr>
        <w:pStyle w:val="8"/>
        <w:spacing w:before="6"/>
        <w:rPr>
          <w:color w:val="auto"/>
          <w:sz w:val="15"/>
        </w:rPr>
      </w:pPr>
    </w:p>
    <w:p>
      <w:pPr>
        <w:pStyle w:val="44"/>
        <w:numPr>
          <w:ilvl w:val="0"/>
          <w:numId w:val="56"/>
        </w:numPr>
        <w:tabs>
          <w:tab w:val="left" w:pos="1163"/>
        </w:tabs>
        <w:ind w:hanging="530"/>
        <w:rPr>
          <w:color w:val="auto"/>
          <w:sz w:val="21"/>
        </w:rPr>
      </w:pPr>
      <w:r>
        <w:rPr>
          <w:color w:val="auto"/>
          <w:spacing w:val="-3"/>
          <w:sz w:val="21"/>
        </w:rPr>
        <w:t>由于承包人原因未能通过竣工试验或竣工后试验的；</w:t>
      </w:r>
    </w:p>
    <w:p>
      <w:pPr>
        <w:rPr>
          <w:color w:val="auto"/>
          <w:sz w:val="21"/>
        </w:rPr>
        <w:sectPr>
          <w:pgSz w:w="11910" w:h="16840"/>
          <w:pgMar w:top="1540" w:right="700" w:bottom="1180" w:left="920" w:header="0" w:footer="995" w:gutter="0"/>
          <w:cols w:space="720" w:num="1"/>
        </w:sectPr>
      </w:pPr>
    </w:p>
    <w:p>
      <w:pPr>
        <w:pStyle w:val="44"/>
        <w:numPr>
          <w:ilvl w:val="0"/>
          <w:numId w:val="56"/>
        </w:numPr>
        <w:tabs>
          <w:tab w:val="left" w:pos="1165"/>
        </w:tabs>
        <w:spacing w:before="65" w:line="417" w:lineRule="auto"/>
        <w:ind w:left="212" w:right="435" w:firstLine="420"/>
        <w:rPr>
          <w:color w:val="auto"/>
          <w:sz w:val="21"/>
        </w:rPr>
      </w:pPr>
      <w:r>
        <w:rPr>
          <w:color w:val="auto"/>
          <w:spacing w:val="-1"/>
          <w:sz w:val="21"/>
        </w:rPr>
        <w:t>承包人在缺陷责任期内，未能对工程接收证书所列的缺陷清单的内容或缺陷责任期内发生的缺</w:t>
      </w:r>
      <w:r>
        <w:rPr>
          <w:color w:val="auto"/>
          <w:spacing w:val="-3"/>
          <w:sz w:val="21"/>
        </w:rPr>
        <w:t>陷进行修复，而又拒绝按监理人指示再进行修补；</w:t>
      </w:r>
      <w:r>
        <w:rPr>
          <w:color w:val="auto"/>
          <w:sz w:val="21"/>
        </w:rPr>
        <w:t xml:space="preserve"> </w:t>
      </w:r>
    </w:p>
    <w:p>
      <w:pPr>
        <w:pStyle w:val="44"/>
        <w:numPr>
          <w:ilvl w:val="0"/>
          <w:numId w:val="56"/>
        </w:numPr>
        <w:tabs>
          <w:tab w:val="left" w:pos="1163"/>
        </w:tabs>
        <w:spacing w:line="269" w:lineRule="exact"/>
        <w:ind w:hanging="530"/>
        <w:rPr>
          <w:color w:val="auto"/>
          <w:sz w:val="21"/>
        </w:rPr>
      </w:pPr>
      <w:r>
        <w:rPr>
          <w:color w:val="auto"/>
          <w:spacing w:val="-3"/>
          <w:sz w:val="21"/>
        </w:rPr>
        <w:t>承包人无法继续履行或明确表示不履行或实质上已停止履行合同；</w:t>
      </w:r>
    </w:p>
    <w:p>
      <w:pPr>
        <w:pStyle w:val="8"/>
        <w:spacing w:before="7"/>
        <w:rPr>
          <w:color w:val="auto"/>
          <w:sz w:val="15"/>
        </w:rPr>
      </w:pPr>
    </w:p>
    <w:p>
      <w:pPr>
        <w:pStyle w:val="44"/>
        <w:numPr>
          <w:ilvl w:val="0"/>
          <w:numId w:val="56"/>
        </w:numPr>
        <w:tabs>
          <w:tab w:val="left" w:pos="1163"/>
        </w:tabs>
        <w:ind w:hanging="530"/>
        <w:rPr>
          <w:color w:val="auto"/>
          <w:sz w:val="21"/>
        </w:rPr>
      </w:pPr>
      <w:r>
        <w:rPr>
          <w:color w:val="auto"/>
          <w:spacing w:val="-3"/>
          <w:sz w:val="21"/>
        </w:rPr>
        <w:t>承包人不按合同约定履行义务的其他情况。</w:t>
      </w:r>
      <w:r>
        <w:rPr>
          <w:color w:val="auto"/>
          <w:sz w:val="21"/>
        </w:rPr>
        <w:t xml:space="preserve">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 xml:space="preserve">对承包人违约的处理 </w:t>
      </w:r>
    </w:p>
    <w:p>
      <w:pPr>
        <w:pStyle w:val="8"/>
        <w:spacing w:before="6"/>
        <w:rPr>
          <w:color w:val="auto"/>
          <w:sz w:val="15"/>
        </w:rPr>
      </w:pPr>
    </w:p>
    <w:p>
      <w:pPr>
        <w:pStyle w:val="44"/>
        <w:numPr>
          <w:ilvl w:val="0"/>
          <w:numId w:val="57"/>
        </w:numPr>
        <w:tabs>
          <w:tab w:val="left" w:pos="1163"/>
        </w:tabs>
        <w:spacing w:before="1" w:line="417" w:lineRule="auto"/>
        <w:ind w:right="426" w:firstLine="420"/>
        <w:rPr>
          <w:color w:val="auto"/>
          <w:sz w:val="21"/>
        </w:rPr>
      </w:pPr>
      <w:r>
        <w:rPr>
          <w:color w:val="auto"/>
          <w:spacing w:val="-4"/>
          <w:sz w:val="21"/>
        </w:rPr>
        <w:t xml:space="preserve">承包人发生第 </w:t>
      </w:r>
      <w:r>
        <w:rPr>
          <w:rFonts w:ascii="Times New Roman" w:eastAsia="Times New Roman"/>
          <w:color w:val="auto"/>
          <w:spacing w:val="-3"/>
          <w:sz w:val="21"/>
        </w:rPr>
        <w:t>22.1.1</w:t>
      </w:r>
      <w:r>
        <w:rPr>
          <w:color w:val="auto"/>
          <w:spacing w:val="-3"/>
          <w:sz w:val="21"/>
        </w:rPr>
        <w:t>（</w:t>
      </w:r>
      <w:r>
        <w:rPr>
          <w:rFonts w:ascii="Times New Roman" w:eastAsia="Times New Roman"/>
          <w:color w:val="auto"/>
          <w:spacing w:val="-3"/>
          <w:sz w:val="21"/>
        </w:rPr>
        <w:t>6</w:t>
      </w:r>
      <w:r>
        <w:rPr>
          <w:color w:val="auto"/>
          <w:spacing w:val="-3"/>
          <w:sz w:val="21"/>
        </w:rPr>
        <w:t>）</w:t>
      </w:r>
      <w:r>
        <w:rPr>
          <w:color w:val="auto"/>
          <w:spacing w:val="-4"/>
          <w:sz w:val="21"/>
        </w:rPr>
        <w:t>目约定的违约情况时，按照发包人要求中的未能通过竣工</w:t>
      </w:r>
      <w:r>
        <w:rPr>
          <w:rFonts w:ascii="Times New Roman" w:eastAsia="Times New Roman"/>
          <w:color w:val="auto"/>
          <w:spacing w:val="-4"/>
          <w:sz w:val="21"/>
        </w:rPr>
        <w:t>/</w:t>
      </w:r>
      <w:r>
        <w:rPr>
          <w:color w:val="auto"/>
          <w:spacing w:val="-3"/>
          <w:sz w:val="21"/>
        </w:rPr>
        <w:t>竣工后试验的损害进行赔偿。发生延期的，承包人应承担延期责任。</w:t>
      </w:r>
    </w:p>
    <w:p>
      <w:pPr>
        <w:pStyle w:val="44"/>
        <w:numPr>
          <w:ilvl w:val="0"/>
          <w:numId w:val="57"/>
        </w:numPr>
        <w:tabs>
          <w:tab w:val="left" w:pos="1163"/>
        </w:tabs>
        <w:spacing w:line="269" w:lineRule="exact"/>
        <w:ind w:left="1162" w:hanging="530"/>
        <w:rPr>
          <w:rFonts w:ascii="Times New Roman" w:eastAsia="Times New Roman"/>
          <w:color w:val="auto"/>
          <w:sz w:val="21"/>
        </w:rPr>
      </w:pPr>
      <w:r>
        <w:rPr>
          <w:color w:val="auto"/>
          <w:spacing w:val="-10"/>
          <w:sz w:val="21"/>
        </w:rPr>
        <w:t xml:space="preserve">承包人发生第 </w:t>
      </w:r>
      <w:r>
        <w:rPr>
          <w:rFonts w:ascii="Times New Roman" w:eastAsia="Times New Roman"/>
          <w:color w:val="auto"/>
          <w:spacing w:val="-16"/>
          <w:sz w:val="21"/>
        </w:rPr>
        <w:t>22.1.1</w:t>
      </w:r>
      <w:r>
        <w:rPr>
          <w:color w:val="auto"/>
          <w:spacing w:val="-16"/>
          <w:sz w:val="21"/>
        </w:rPr>
        <w:t>（</w:t>
      </w:r>
      <w:r>
        <w:rPr>
          <w:rFonts w:ascii="Times New Roman" w:eastAsia="Times New Roman"/>
          <w:color w:val="auto"/>
          <w:spacing w:val="-16"/>
          <w:sz w:val="21"/>
        </w:rPr>
        <w:t>8</w:t>
      </w:r>
      <w:r>
        <w:rPr>
          <w:color w:val="auto"/>
          <w:spacing w:val="-16"/>
          <w:sz w:val="21"/>
        </w:rPr>
        <w:t>）</w:t>
      </w:r>
      <w:r>
        <w:rPr>
          <w:color w:val="auto"/>
          <w:spacing w:val="-15"/>
          <w:sz w:val="21"/>
        </w:rPr>
        <w:t xml:space="preserve">目约定的违约情况时，发包人可通知承包人立即解除合同，并按第 </w:t>
      </w:r>
      <w:r>
        <w:rPr>
          <w:rFonts w:ascii="Times New Roman" w:eastAsia="Times New Roman"/>
          <w:color w:val="auto"/>
          <w:sz w:val="21"/>
        </w:rPr>
        <w:t>22.1.3</w:t>
      </w:r>
    </w:p>
    <w:p>
      <w:pPr>
        <w:pStyle w:val="8"/>
        <w:spacing w:before="3"/>
        <w:rPr>
          <w:rFonts w:ascii="Times New Roman"/>
          <w:color w:val="auto"/>
          <w:sz w:val="17"/>
        </w:rPr>
      </w:pPr>
    </w:p>
    <w:p>
      <w:pPr>
        <w:pStyle w:val="8"/>
        <w:spacing w:before="1"/>
        <w:ind w:left="212"/>
        <w:jc w:val="both"/>
        <w:rPr>
          <w:color w:val="auto"/>
        </w:rPr>
      </w:pPr>
      <w:r>
        <w:rPr>
          <w:color w:val="auto"/>
        </w:rPr>
        <w:t xml:space="preserve">项、第 </w:t>
      </w:r>
      <w:r>
        <w:rPr>
          <w:rFonts w:ascii="Times New Roman" w:eastAsia="Times New Roman"/>
          <w:color w:val="auto"/>
        </w:rPr>
        <w:t xml:space="preserve">22.1.4 </w:t>
      </w:r>
      <w:r>
        <w:rPr>
          <w:color w:val="auto"/>
        </w:rPr>
        <w:t xml:space="preserve">项、第 </w:t>
      </w:r>
      <w:r>
        <w:rPr>
          <w:rFonts w:ascii="Times New Roman" w:eastAsia="Times New Roman"/>
          <w:color w:val="auto"/>
        </w:rPr>
        <w:t xml:space="preserve">22.1.5 </w:t>
      </w:r>
      <w:r>
        <w:rPr>
          <w:color w:val="auto"/>
        </w:rPr>
        <w:t>项约定处理。</w:t>
      </w:r>
    </w:p>
    <w:p>
      <w:pPr>
        <w:pStyle w:val="8"/>
        <w:spacing w:before="6"/>
        <w:rPr>
          <w:color w:val="auto"/>
          <w:sz w:val="15"/>
        </w:rPr>
      </w:pPr>
    </w:p>
    <w:p>
      <w:pPr>
        <w:pStyle w:val="44"/>
        <w:numPr>
          <w:ilvl w:val="0"/>
          <w:numId w:val="57"/>
        </w:numPr>
        <w:tabs>
          <w:tab w:val="left" w:pos="1163"/>
        </w:tabs>
        <w:spacing w:line="417" w:lineRule="auto"/>
        <w:ind w:right="426" w:firstLine="420"/>
        <w:jc w:val="both"/>
        <w:rPr>
          <w:color w:val="auto"/>
          <w:sz w:val="21"/>
        </w:rPr>
      </w:pPr>
      <w:r>
        <w:rPr>
          <w:color w:val="auto"/>
          <w:spacing w:val="-9"/>
          <w:sz w:val="21"/>
        </w:rPr>
        <w:t xml:space="preserve">承包人发生除第 </w:t>
      </w:r>
      <w:r>
        <w:rPr>
          <w:rFonts w:ascii="Times New Roman" w:eastAsia="Times New Roman"/>
          <w:color w:val="auto"/>
          <w:sz w:val="21"/>
        </w:rPr>
        <w:t>22.1.1</w:t>
      </w:r>
      <w:r>
        <w:rPr>
          <w:color w:val="auto"/>
          <w:sz w:val="21"/>
        </w:rPr>
        <w:t>（</w:t>
      </w:r>
      <w:r>
        <w:rPr>
          <w:rFonts w:ascii="Times New Roman" w:eastAsia="Times New Roman"/>
          <w:color w:val="auto"/>
          <w:sz w:val="21"/>
        </w:rPr>
        <w:t>6</w:t>
      </w:r>
      <w:r>
        <w:rPr>
          <w:color w:val="auto"/>
          <w:sz w:val="21"/>
        </w:rPr>
        <w:t>）</w:t>
      </w:r>
      <w:r>
        <w:rPr>
          <w:color w:val="auto"/>
          <w:spacing w:val="-13"/>
          <w:sz w:val="21"/>
        </w:rPr>
        <w:t xml:space="preserve">目和第 </w:t>
      </w:r>
      <w:r>
        <w:rPr>
          <w:rFonts w:ascii="Times New Roman" w:eastAsia="Times New Roman"/>
          <w:color w:val="auto"/>
          <w:sz w:val="21"/>
        </w:rPr>
        <w:t>22.1.1</w:t>
      </w:r>
      <w:r>
        <w:rPr>
          <w:color w:val="auto"/>
          <w:sz w:val="21"/>
        </w:rPr>
        <w:t>（</w:t>
      </w:r>
      <w:r>
        <w:rPr>
          <w:rFonts w:ascii="Times New Roman" w:eastAsia="Times New Roman"/>
          <w:color w:val="auto"/>
          <w:sz w:val="21"/>
        </w:rPr>
        <w:t>8</w:t>
      </w:r>
      <w:r>
        <w:rPr>
          <w:color w:val="auto"/>
          <w:sz w:val="21"/>
        </w:rPr>
        <w:t>）</w:t>
      </w:r>
      <w:r>
        <w:rPr>
          <w:color w:val="auto"/>
          <w:spacing w:val="-4"/>
          <w:sz w:val="21"/>
        </w:rPr>
        <w:t>目约定以外的其他违约情况时，监理人可向承包</w:t>
      </w:r>
      <w:r>
        <w:rPr>
          <w:color w:val="auto"/>
          <w:spacing w:val="-6"/>
          <w:sz w:val="21"/>
        </w:rPr>
        <w:t>人发出整改通知，要求其在指定的期限内纠正。除合同条款另有约定外，承包人应承担其违约所引起的费</w:t>
      </w:r>
      <w:r>
        <w:rPr>
          <w:color w:val="auto"/>
          <w:spacing w:val="-4"/>
          <w:sz w:val="21"/>
        </w:rPr>
        <w:t>用增加和</w:t>
      </w:r>
      <w:r>
        <w:rPr>
          <w:color w:val="auto"/>
          <w:spacing w:val="-3"/>
          <w:sz w:val="21"/>
        </w:rPr>
        <w:t>（</w:t>
      </w:r>
      <w:r>
        <w:rPr>
          <w:color w:val="auto"/>
          <w:sz w:val="21"/>
        </w:rPr>
        <w:t>或</w:t>
      </w:r>
      <w:r>
        <w:rPr>
          <w:color w:val="auto"/>
          <w:spacing w:val="-3"/>
          <w:sz w:val="21"/>
        </w:rPr>
        <w:t>）工期延误。</w:t>
      </w:r>
    </w:p>
    <w:p>
      <w:pPr>
        <w:pStyle w:val="44"/>
        <w:numPr>
          <w:ilvl w:val="2"/>
          <w:numId w:val="22"/>
        </w:numPr>
        <w:tabs>
          <w:tab w:val="left" w:pos="1265"/>
        </w:tabs>
        <w:spacing w:line="269" w:lineRule="exact"/>
        <w:ind w:left="1264" w:hanging="632"/>
        <w:jc w:val="both"/>
        <w:rPr>
          <w:rFonts w:ascii="Times New Roman" w:eastAsia="Times New Roman"/>
          <w:color w:val="auto"/>
          <w:sz w:val="21"/>
        </w:rPr>
      </w:pPr>
      <w:r>
        <w:rPr>
          <w:color w:val="auto"/>
          <w:spacing w:val="-3"/>
          <w:sz w:val="21"/>
        </w:rPr>
        <w:t>因承包人违约解除合同</w:t>
      </w:r>
      <w:r>
        <w:rPr>
          <w:color w:val="auto"/>
          <w:sz w:val="21"/>
        </w:rPr>
        <w:t xml:space="preserve"> </w:t>
      </w:r>
    </w:p>
    <w:p>
      <w:pPr>
        <w:pStyle w:val="8"/>
        <w:spacing w:before="7"/>
        <w:rPr>
          <w:color w:val="auto"/>
          <w:sz w:val="15"/>
        </w:rPr>
      </w:pPr>
    </w:p>
    <w:p>
      <w:pPr>
        <w:pStyle w:val="8"/>
        <w:ind w:left="633"/>
        <w:jc w:val="both"/>
        <w:rPr>
          <w:color w:val="auto"/>
        </w:rPr>
      </w:pPr>
      <w:r>
        <w:rPr>
          <w:color w:val="auto"/>
        </w:rPr>
        <w:t>监理人发出整改通知 28 天后，承包人仍不纠正违约行为的，发包人有权解除合同并向承包人发出解</w:t>
      </w:r>
    </w:p>
    <w:p>
      <w:pPr>
        <w:pStyle w:val="8"/>
        <w:spacing w:before="7"/>
        <w:rPr>
          <w:color w:val="auto"/>
          <w:sz w:val="15"/>
        </w:rPr>
      </w:pPr>
    </w:p>
    <w:p>
      <w:pPr>
        <w:pStyle w:val="8"/>
        <w:spacing w:line="417" w:lineRule="auto"/>
        <w:ind w:left="212" w:right="405"/>
        <w:jc w:val="both"/>
        <w:rPr>
          <w:color w:val="auto"/>
        </w:rPr>
      </w:pPr>
      <w:r>
        <w:rPr>
          <w:color w:val="auto"/>
          <w:spacing w:val="-3"/>
        </w:rPr>
        <w:t xml:space="preserve">除合同通知。承包人收到发包人解除合同通知后 </w:t>
      </w:r>
      <w:r>
        <w:rPr>
          <w:color w:val="auto"/>
        </w:rPr>
        <w:t>14</w:t>
      </w:r>
      <w:r>
        <w:rPr>
          <w:color w:val="auto"/>
          <w:spacing w:val="-3"/>
        </w:rPr>
        <w:t xml:space="preserve"> 天内，承包人应撤离现场，发包人派员进驻施工场地</w:t>
      </w:r>
      <w:r>
        <w:rPr>
          <w:color w:val="auto"/>
          <w:spacing w:val="-6"/>
        </w:rPr>
        <w:t>完成现场交接手续，发包人有权另行组织人员或委托其他承包人。发包人因继续完成该工程的需要，有权</w:t>
      </w:r>
      <w:r>
        <w:rPr>
          <w:color w:val="auto"/>
          <w:spacing w:val="-4"/>
        </w:rPr>
        <w:t xml:space="preserve">扣留使用承包人在现场的材料、设备和临时设施。但发包人的这一行动不免除承包人应承担的违约责任， </w:t>
      </w:r>
      <w:r>
        <w:rPr>
          <w:color w:val="auto"/>
          <w:spacing w:val="-3"/>
        </w:rPr>
        <w:t>也不影响发包人根据合同约定享有的索赔权利。</w:t>
      </w:r>
      <w:r>
        <w:rPr>
          <w:color w:val="auto"/>
        </w:rPr>
        <w:t xml:space="preserve"> </w:t>
      </w:r>
    </w:p>
    <w:p>
      <w:pPr>
        <w:pStyle w:val="44"/>
        <w:numPr>
          <w:ilvl w:val="2"/>
          <w:numId w:val="22"/>
        </w:numPr>
        <w:tabs>
          <w:tab w:val="left" w:pos="1265"/>
        </w:tabs>
        <w:spacing w:line="269" w:lineRule="exact"/>
        <w:ind w:left="1264" w:hanging="632"/>
        <w:jc w:val="both"/>
        <w:rPr>
          <w:rFonts w:ascii="Times New Roman" w:eastAsia="Times New Roman"/>
          <w:color w:val="auto"/>
          <w:sz w:val="21"/>
        </w:rPr>
      </w:pPr>
      <w:r>
        <w:rPr>
          <w:color w:val="auto"/>
          <w:spacing w:val="-3"/>
          <w:sz w:val="21"/>
        </w:rPr>
        <w:t>发包人发出合同解除通知后的估价、付款和结清</w:t>
      </w:r>
      <w:r>
        <w:rPr>
          <w:color w:val="auto"/>
          <w:sz w:val="21"/>
        </w:rPr>
        <w:t xml:space="preserve"> </w:t>
      </w:r>
    </w:p>
    <w:p>
      <w:pPr>
        <w:pStyle w:val="8"/>
        <w:spacing w:before="6"/>
        <w:rPr>
          <w:color w:val="auto"/>
          <w:sz w:val="15"/>
        </w:rPr>
      </w:pPr>
    </w:p>
    <w:p>
      <w:pPr>
        <w:pStyle w:val="44"/>
        <w:numPr>
          <w:ilvl w:val="0"/>
          <w:numId w:val="58"/>
        </w:numPr>
        <w:tabs>
          <w:tab w:val="left" w:pos="1163"/>
        </w:tabs>
        <w:spacing w:before="1" w:line="417" w:lineRule="auto"/>
        <w:ind w:right="426" w:firstLine="420"/>
        <w:jc w:val="both"/>
        <w:rPr>
          <w:color w:val="auto"/>
          <w:sz w:val="21"/>
        </w:rPr>
      </w:pPr>
      <w:r>
        <w:rPr>
          <w:color w:val="auto"/>
          <w:spacing w:val="-6"/>
          <w:sz w:val="21"/>
        </w:rPr>
        <w:t xml:space="preserve">承包人收到发包人解除合同通知后 </w:t>
      </w:r>
      <w:r>
        <w:rPr>
          <w:rFonts w:ascii="Times New Roman" w:eastAsia="Times New Roman"/>
          <w:color w:val="auto"/>
          <w:sz w:val="21"/>
        </w:rPr>
        <w:t>28</w:t>
      </w:r>
      <w:r>
        <w:rPr>
          <w:rFonts w:ascii="Times New Roman" w:eastAsia="Times New Roman"/>
          <w:color w:val="auto"/>
          <w:spacing w:val="8"/>
          <w:sz w:val="21"/>
        </w:rPr>
        <w:t xml:space="preserve"> </w:t>
      </w:r>
      <w:r>
        <w:rPr>
          <w:color w:val="auto"/>
          <w:spacing w:val="-10"/>
          <w:sz w:val="21"/>
        </w:rPr>
        <w:t xml:space="preserve">天内，监理人按第 </w:t>
      </w:r>
      <w:r>
        <w:rPr>
          <w:rFonts w:ascii="Times New Roman" w:eastAsia="Times New Roman"/>
          <w:color w:val="auto"/>
          <w:sz w:val="21"/>
        </w:rPr>
        <w:t>3.5</w:t>
      </w:r>
      <w:r>
        <w:rPr>
          <w:rFonts w:ascii="Times New Roman" w:eastAsia="Times New Roman"/>
          <w:color w:val="auto"/>
          <w:spacing w:val="16"/>
          <w:sz w:val="21"/>
        </w:rPr>
        <w:t xml:space="preserve"> </w:t>
      </w:r>
      <w:r>
        <w:rPr>
          <w:color w:val="auto"/>
          <w:spacing w:val="-3"/>
          <w:sz w:val="21"/>
        </w:rPr>
        <w:t>款商定或确定承包人实际完成工作</w:t>
      </w:r>
      <w:r>
        <w:rPr>
          <w:color w:val="auto"/>
          <w:spacing w:val="-7"/>
          <w:sz w:val="21"/>
        </w:rPr>
        <w:t>的价值，包括发包人扣留承包人的材料、设备及临时设施和承包人已提供的设计、材料、施工设备、工程</w:t>
      </w:r>
      <w:r>
        <w:rPr>
          <w:color w:val="auto"/>
          <w:spacing w:val="-5"/>
          <w:sz w:val="21"/>
        </w:rPr>
        <w:t>设备、临时工程等的价值。</w:t>
      </w:r>
    </w:p>
    <w:p>
      <w:pPr>
        <w:pStyle w:val="44"/>
        <w:numPr>
          <w:ilvl w:val="0"/>
          <w:numId w:val="58"/>
        </w:numPr>
        <w:tabs>
          <w:tab w:val="left" w:pos="1165"/>
        </w:tabs>
        <w:spacing w:line="417" w:lineRule="auto"/>
        <w:ind w:right="436" w:firstLine="420"/>
        <w:rPr>
          <w:color w:val="auto"/>
          <w:sz w:val="21"/>
        </w:rPr>
      </w:pPr>
      <w:r>
        <w:rPr>
          <w:color w:val="auto"/>
          <w:spacing w:val="-1"/>
          <w:sz w:val="21"/>
        </w:rPr>
        <w:t>发包人发出解除合同通知后，发包人有权暂停对承包人的一切付款，查清各项付款和已扣款金</w:t>
      </w:r>
      <w:r>
        <w:rPr>
          <w:color w:val="auto"/>
          <w:spacing w:val="-3"/>
          <w:sz w:val="21"/>
        </w:rPr>
        <w:t>额，包括承包人应支付的违约金。</w:t>
      </w:r>
    </w:p>
    <w:p>
      <w:pPr>
        <w:pStyle w:val="44"/>
        <w:numPr>
          <w:ilvl w:val="0"/>
          <w:numId w:val="58"/>
        </w:numPr>
        <w:tabs>
          <w:tab w:val="left" w:pos="1163"/>
        </w:tabs>
        <w:spacing w:line="417" w:lineRule="auto"/>
        <w:ind w:right="428" w:firstLine="420"/>
        <w:rPr>
          <w:color w:val="auto"/>
          <w:sz w:val="21"/>
        </w:rPr>
      </w:pPr>
      <w:r>
        <w:rPr>
          <w:color w:val="auto"/>
          <w:spacing w:val="-6"/>
          <w:sz w:val="21"/>
        </w:rPr>
        <w:t xml:space="preserve">发包人发出解除合同通知后，发包人有权按第 </w:t>
      </w:r>
      <w:r>
        <w:rPr>
          <w:rFonts w:ascii="Times New Roman" w:eastAsia="Times New Roman"/>
          <w:color w:val="auto"/>
          <w:sz w:val="21"/>
        </w:rPr>
        <w:t>23.4</w:t>
      </w:r>
      <w:r>
        <w:rPr>
          <w:rFonts w:ascii="Times New Roman" w:eastAsia="Times New Roman"/>
          <w:color w:val="auto"/>
          <w:spacing w:val="29"/>
          <w:sz w:val="21"/>
        </w:rPr>
        <w:t xml:space="preserve"> </w:t>
      </w:r>
      <w:r>
        <w:rPr>
          <w:color w:val="auto"/>
          <w:spacing w:val="-3"/>
          <w:sz w:val="21"/>
        </w:rPr>
        <w:t>款的约定向承包人索赔由于解除合同给发包人造成的损失。</w:t>
      </w:r>
    </w:p>
    <w:p>
      <w:pPr>
        <w:pStyle w:val="44"/>
        <w:numPr>
          <w:ilvl w:val="0"/>
          <w:numId w:val="58"/>
        </w:numPr>
        <w:tabs>
          <w:tab w:val="left" w:pos="1163"/>
        </w:tabs>
        <w:spacing w:line="269" w:lineRule="exact"/>
        <w:ind w:left="1162" w:hanging="530"/>
        <w:rPr>
          <w:color w:val="auto"/>
          <w:sz w:val="21"/>
        </w:rPr>
      </w:pPr>
      <w:r>
        <w:rPr>
          <w:color w:val="auto"/>
          <w:spacing w:val="-3"/>
          <w:sz w:val="21"/>
        </w:rPr>
        <w:t>合同双方确认合同价款后，发包人颁发最终结清付款证书，并结清全部合同款项。</w:t>
      </w:r>
    </w:p>
    <w:p>
      <w:pPr>
        <w:pStyle w:val="8"/>
        <w:spacing w:before="6"/>
        <w:rPr>
          <w:color w:val="auto"/>
          <w:sz w:val="15"/>
        </w:rPr>
      </w:pPr>
    </w:p>
    <w:p>
      <w:pPr>
        <w:pStyle w:val="44"/>
        <w:numPr>
          <w:ilvl w:val="0"/>
          <w:numId w:val="58"/>
        </w:numPr>
        <w:tabs>
          <w:tab w:val="left" w:pos="1163"/>
        </w:tabs>
        <w:ind w:left="1162" w:hanging="530"/>
        <w:jc w:val="both"/>
        <w:rPr>
          <w:color w:val="auto"/>
          <w:sz w:val="21"/>
        </w:rPr>
      </w:pPr>
      <w:r>
        <w:rPr>
          <w:color w:val="auto"/>
          <w:spacing w:val="-5"/>
          <w:sz w:val="21"/>
        </w:rPr>
        <w:t xml:space="preserve">发包人和承包人未能就解除合同后的结清达成一致而形成争议的，按第 </w:t>
      </w:r>
      <w:r>
        <w:rPr>
          <w:rFonts w:ascii="Times New Roman" w:eastAsia="Times New Roman"/>
          <w:color w:val="auto"/>
          <w:sz w:val="21"/>
        </w:rPr>
        <w:t>24</w:t>
      </w:r>
      <w:r>
        <w:rPr>
          <w:rFonts w:ascii="Times New Roman" w:eastAsia="Times New Roman"/>
          <w:color w:val="auto"/>
          <w:spacing w:val="3"/>
          <w:sz w:val="21"/>
        </w:rPr>
        <w:t xml:space="preserve"> </w:t>
      </w:r>
      <w:r>
        <w:rPr>
          <w:color w:val="auto"/>
          <w:spacing w:val="-3"/>
          <w:sz w:val="21"/>
        </w:rPr>
        <w:t>条的约定执行。</w:t>
      </w:r>
      <w:r>
        <w:rPr>
          <w:color w:val="auto"/>
          <w:sz w:val="21"/>
        </w:rPr>
        <w:t xml:space="preserve"> </w:t>
      </w:r>
    </w:p>
    <w:p>
      <w:pPr>
        <w:pStyle w:val="8"/>
        <w:spacing w:before="7"/>
        <w:rPr>
          <w:color w:val="auto"/>
          <w:sz w:val="15"/>
        </w:rPr>
      </w:pPr>
    </w:p>
    <w:p>
      <w:pPr>
        <w:pStyle w:val="44"/>
        <w:numPr>
          <w:ilvl w:val="2"/>
          <w:numId w:val="22"/>
        </w:numPr>
        <w:tabs>
          <w:tab w:val="left" w:pos="1163"/>
        </w:tabs>
        <w:ind w:left="1162" w:hanging="530"/>
        <w:rPr>
          <w:rFonts w:ascii="Times New Roman" w:eastAsia="Times New Roman"/>
          <w:color w:val="auto"/>
          <w:sz w:val="19"/>
        </w:rPr>
      </w:pPr>
      <w:r>
        <w:rPr>
          <w:color w:val="auto"/>
          <w:spacing w:val="-3"/>
          <w:sz w:val="21"/>
        </w:rPr>
        <w:t>协议利益的转让</w:t>
      </w:r>
      <w:r>
        <w:rPr>
          <w:color w:val="auto"/>
          <w:sz w:val="21"/>
        </w:rPr>
        <w:t xml:space="preserve"> </w:t>
      </w:r>
    </w:p>
    <w:p>
      <w:pPr>
        <w:rPr>
          <w:rFonts w:ascii="Times New Roman" w:eastAsia="Times New Roman"/>
          <w:color w:val="auto"/>
          <w:sz w:val="19"/>
        </w:rPr>
        <w:sectPr>
          <w:pgSz w:w="11910" w:h="16840"/>
          <w:pgMar w:top="1540" w:right="700" w:bottom="1180" w:left="920" w:header="0" w:footer="995" w:gutter="0"/>
          <w:cols w:space="720" w:num="1"/>
        </w:sectPr>
      </w:pPr>
    </w:p>
    <w:p>
      <w:pPr>
        <w:pStyle w:val="8"/>
        <w:spacing w:before="45" w:line="417" w:lineRule="auto"/>
        <w:ind w:left="212" w:right="426" w:firstLine="420"/>
        <w:jc w:val="both"/>
        <w:rPr>
          <w:color w:val="auto"/>
        </w:rPr>
      </w:pPr>
      <w:r>
        <w:rPr>
          <w:color w:val="auto"/>
          <w:spacing w:val="-5"/>
        </w:rPr>
        <w:t>因承包人违约解除合同的，发包人有权要求承包人将其为实施合同而签订的材料和设备的订货协议或</w:t>
      </w:r>
      <w:r>
        <w:rPr>
          <w:color w:val="auto"/>
          <w:spacing w:val="-4"/>
        </w:rPr>
        <w:t xml:space="preserve">任何服务协议利益转让给发包人，并在承包人收到解除合同通知后的 </w:t>
      </w:r>
      <w:r>
        <w:rPr>
          <w:color w:val="auto"/>
        </w:rPr>
        <w:t>14</w:t>
      </w:r>
      <w:r>
        <w:rPr>
          <w:color w:val="auto"/>
          <w:spacing w:val="-3"/>
        </w:rPr>
        <w:t xml:space="preserve"> 天内，依法办理转让手续。发包人有权使用承包人文件和由承包人或以其名义编制的其他设计文件。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紧急情况下无能力或不愿进行抢救</w:t>
      </w:r>
      <w:r>
        <w:rPr>
          <w:color w:val="auto"/>
          <w:sz w:val="21"/>
        </w:rPr>
        <w:t xml:space="preserve"> </w:t>
      </w:r>
    </w:p>
    <w:p>
      <w:pPr>
        <w:pStyle w:val="8"/>
        <w:spacing w:before="7"/>
        <w:rPr>
          <w:color w:val="auto"/>
          <w:sz w:val="15"/>
        </w:rPr>
      </w:pPr>
    </w:p>
    <w:p>
      <w:pPr>
        <w:pStyle w:val="8"/>
        <w:spacing w:line="417" w:lineRule="auto"/>
        <w:ind w:left="212" w:right="405" w:firstLine="420"/>
        <w:jc w:val="both"/>
        <w:rPr>
          <w:color w:val="auto"/>
        </w:rPr>
      </w:pPr>
      <w:r>
        <w:rPr>
          <w:color w:val="auto"/>
          <w:spacing w:val="-5"/>
        </w:rPr>
        <w:t>在工程实施期间或缺陷责任期内发生危及工程安全的事件，监理人通知承包人进行抢救，承包人声明</w:t>
      </w:r>
      <w:r>
        <w:rPr>
          <w:color w:val="auto"/>
          <w:spacing w:val="-4"/>
        </w:rPr>
        <w:t xml:space="preserve">无能力或不愿立即执行的，发包人有权雇佣其他人员进行抢救。此类抢救按合同约定属于承包人义务的， </w:t>
      </w:r>
      <w:r>
        <w:rPr>
          <w:color w:val="auto"/>
          <w:spacing w:val="-3"/>
        </w:rPr>
        <w:t>由此发生的金额和（</w:t>
      </w:r>
      <w:r>
        <w:rPr>
          <w:color w:val="auto"/>
        </w:rPr>
        <w:t>或</w:t>
      </w:r>
      <w:r>
        <w:rPr>
          <w:color w:val="auto"/>
          <w:spacing w:val="-3"/>
        </w:rPr>
        <w:t>）工期延误由承包人承担。</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42" w:name="22.2_发包人违约"/>
      <w:bookmarkEnd w:id="242"/>
      <w:r>
        <w:rPr>
          <w:color w:val="auto"/>
        </w:rPr>
        <w:t>发包人违约</w:t>
      </w:r>
    </w:p>
    <w:p>
      <w:pPr>
        <w:pStyle w:val="44"/>
        <w:numPr>
          <w:ilvl w:val="2"/>
          <w:numId w:val="22"/>
        </w:numPr>
        <w:tabs>
          <w:tab w:val="left" w:pos="1163"/>
        </w:tabs>
        <w:spacing w:before="182"/>
        <w:ind w:left="1162" w:hanging="530"/>
        <w:rPr>
          <w:rFonts w:ascii="Times New Roman" w:eastAsia="Times New Roman"/>
          <w:color w:val="auto"/>
          <w:sz w:val="19"/>
        </w:rPr>
      </w:pPr>
      <w:r>
        <w:rPr>
          <w:color w:val="auto"/>
          <w:spacing w:val="-3"/>
          <w:sz w:val="21"/>
        </w:rPr>
        <w:t>发包人违约的情形</w:t>
      </w:r>
      <w:r>
        <w:rPr>
          <w:color w:val="auto"/>
          <w:sz w:val="21"/>
        </w:rPr>
        <w:t xml:space="preserve"> </w:t>
      </w:r>
    </w:p>
    <w:p>
      <w:pPr>
        <w:pStyle w:val="8"/>
        <w:spacing w:before="6"/>
        <w:rPr>
          <w:color w:val="auto"/>
          <w:sz w:val="15"/>
        </w:rPr>
      </w:pPr>
    </w:p>
    <w:p>
      <w:pPr>
        <w:pStyle w:val="8"/>
        <w:ind w:left="633"/>
        <w:rPr>
          <w:color w:val="auto"/>
        </w:rPr>
      </w:pPr>
      <w:r>
        <w:rPr>
          <w:color w:val="auto"/>
        </w:rPr>
        <w:t xml:space="preserve">在履行合同过程中发生下列情形之一的，属发包人违约： </w:t>
      </w:r>
    </w:p>
    <w:p>
      <w:pPr>
        <w:pStyle w:val="8"/>
        <w:spacing w:before="7"/>
        <w:rPr>
          <w:color w:val="auto"/>
          <w:sz w:val="15"/>
        </w:rPr>
      </w:pPr>
    </w:p>
    <w:p>
      <w:pPr>
        <w:pStyle w:val="44"/>
        <w:numPr>
          <w:ilvl w:val="0"/>
          <w:numId w:val="59"/>
        </w:numPr>
        <w:tabs>
          <w:tab w:val="left" w:pos="1163"/>
        </w:tabs>
        <w:ind w:hanging="530"/>
        <w:rPr>
          <w:color w:val="auto"/>
          <w:sz w:val="21"/>
        </w:rPr>
      </w:pPr>
      <w:r>
        <w:rPr>
          <w:color w:val="auto"/>
          <w:spacing w:val="-3"/>
          <w:sz w:val="21"/>
        </w:rPr>
        <w:t>发包人未能按合同约定支付价款，或拖延、拒绝批准付款申请和支付凭证，导致付款延误；</w:t>
      </w:r>
    </w:p>
    <w:p>
      <w:pPr>
        <w:pStyle w:val="8"/>
        <w:spacing w:before="7"/>
        <w:rPr>
          <w:color w:val="auto"/>
          <w:sz w:val="15"/>
        </w:rPr>
      </w:pPr>
    </w:p>
    <w:p>
      <w:pPr>
        <w:pStyle w:val="44"/>
        <w:numPr>
          <w:ilvl w:val="0"/>
          <w:numId w:val="59"/>
        </w:numPr>
        <w:tabs>
          <w:tab w:val="left" w:pos="1163"/>
        </w:tabs>
        <w:ind w:hanging="530"/>
        <w:rPr>
          <w:color w:val="auto"/>
          <w:sz w:val="21"/>
        </w:rPr>
      </w:pPr>
      <w:r>
        <w:rPr>
          <w:color w:val="auto"/>
          <w:spacing w:val="-3"/>
          <w:sz w:val="21"/>
        </w:rPr>
        <w:t>发包人原因造成停工；</w:t>
      </w:r>
    </w:p>
    <w:p>
      <w:pPr>
        <w:pStyle w:val="8"/>
        <w:spacing w:before="6"/>
        <w:rPr>
          <w:color w:val="auto"/>
          <w:sz w:val="15"/>
        </w:rPr>
      </w:pPr>
    </w:p>
    <w:p>
      <w:pPr>
        <w:pStyle w:val="44"/>
        <w:numPr>
          <w:ilvl w:val="0"/>
          <w:numId w:val="59"/>
        </w:numPr>
        <w:tabs>
          <w:tab w:val="left" w:pos="1163"/>
        </w:tabs>
        <w:spacing w:before="1"/>
        <w:ind w:hanging="530"/>
        <w:rPr>
          <w:color w:val="auto"/>
          <w:sz w:val="21"/>
        </w:rPr>
      </w:pPr>
      <w:r>
        <w:rPr>
          <w:color w:val="auto"/>
          <w:spacing w:val="-3"/>
          <w:sz w:val="21"/>
        </w:rPr>
        <w:t>监理人无正当理由没有在约定期限内发出复工指示，导致承包人无法复工；</w:t>
      </w:r>
    </w:p>
    <w:p>
      <w:pPr>
        <w:pStyle w:val="8"/>
        <w:spacing w:before="6"/>
        <w:rPr>
          <w:color w:val="auto"/>
          <w:sz w:val="15"/>
        </w:rPr>
      </w:pPr>
    </w:p>
    <w:p>
      <w:pPr>
        <w:pStyle w:val="44"/>
        <w:numPr>
          <w:ilvl w:val="0"/>
          <w:numId w:val="59"/>
        </w:numPr>
        <w:tabs>
          <w:tab w:val="left" w:pos="1163"/>
        </w:tabs>
        <w:ind w:hanging="530"/>
        <w:rPr>
          <w:color w:val="auto"/>
          <w:sz w:val="21"/>
        </w:rPr>
      </w:pPr>
      <w:r>
        <w:rPr>
          <w:color w:val="auto"/>
          <w:spacing w:val="-3"/>
          <w:sz w:val="21"/>
        </w:rPr>
        <w:t>发包人无法继续履行或明确表示不履行或实质上已停止履行合同；</w:t>
      </w:r>
    </w:p>
    <w:p>
      <w:pPr>
        <w:pStyle w:val="8"/>
        <w:spacing w:before="7"/>
        <w:rPr>
          <w:color w:val="auto"/>
          <w:sz w:val="15"/>
        </w:rPr>
      </w:pPr>
    </w:p>
    <w:p>
      <w:pPr>
        <w:pStyle w:val="44"/>
        <w:numPr>
          <w:ilvl w:val="0"/>
          <w:numId w:val="59"/>
        </w:numPr>
        <w:tabs>
          <w:tab w:val="left" w:pos="1163"/>
        </w:tabs>
        <w:ind w:hanging="530"/>
        <w:rPr>
          <w:color w:val="auto"/>
          <w:sz w:val="21"/>
        </w:rPr>
      </w:pPr>
      <w:r>
        <w:rPr>
          <w:color w:val="auto"/>
          <w:spacing w:val="-3"/>
          <w:sz w:val="21"/>
        </w:rPr>
        <w:t>发包人不履行合同约定其他义务。</w:t>
      </w:r>
      <w:r>
        <w:rPr>
          <w:color w:val="auto"/>
          <w:sz w:val="21"/>
        </w:rPr>
        <w:t xml:space="preserve"> </w:t>
      </w:r>
    </w:p>
    <w:p>
      <w:pPr>
        <w:pStyle w:val="8"/>
        <w:spacing w:before="7"/>
        <w:rPr>
          <w:color w:val="auto"/>
          <w:sz w:val="15"/>
        </w:rPr>
      </w:pPr>
    </w:p>
    <w:p>
      <w:pPr>
        <w:pStyle w:val="44"/>
        <w:numPr>
          <w:ilvl w:val="2"/>
          <w:numId w:val="22"/>
        </w:numPr>
        <w:tabs>
          <w:tab w:val="left" w:pos="1265"/>
        </w:tabs>
        <w:ind w:left="1264" w:hanging="632"/>
        <w:rPr>
          <w:rFonts w:ascii="Times New Roman" w:eastAsia="Times New Roman"/>
          <w:color w:val="auto"/>
          <w:sz w:val="21"/>
        </w:rPr>
      </w:pPr>
      <w:r>
        <w:rPr>
          <w:color w:val="auto"/>
          <w:spacing w:val="-3"/>
          <w:sz w:val="21"/>
        </w:rPr>
        <w:t>因发包人违约解除合同</w:t>
      </w:r>
      <w:r>
        <w:rPr>
          <w:color w:val="auto"/>
          <w:sz w:val="21"/>
        </w:rPr>
        <w:t xml:space="preserve"> </w:t>
      </w:r>
    </w:p>
    <w:p>
      <w:pPr>
        <w:pStyle w:val="8"/>
        <w:spacing w:before="7"/>
        <w:rPr>
          <w:color w:val="auto"/>
          <w:sz w:val="15"/>
        </w:rPr>
      </w:pPr>
    </w:p>
    <w:p>
      <w:pPr>
        <w:pStyle w:val="44"/>
        <w:numPr>
          <w:ilvl w:val="0"/>
          <w:numId w:val="60"/>
        </w:numPr>
        <w:tabs>
          <w:tab w:val="left" w:pos="1163"/>
        </w:tabs>
        <w:ind w:hanging="530"/>
        <w:jc w:val="both"/>
        <w:rPr>
          <w:color w:val="auto"/>
          <w:sz w:val="21"/>
        </w:rPr>
      </w:pPr>
      <w:r>
        <w:rPr>
          <w:color w:val="auto"/>
          <w:spacing w:val="-15"/>
          <w:sz w:val="21"/>
        </w:rPr>
        <w:t xml:space="preserve">发生第 </w:t>
      </w:r>
      <w:r>
        <w:rPr>
          <w:rFonts w:ascii="Times New Roman" w:eastAsia="Times New Roman"/>
          <w:color w:val="auto"/>
          <w:sz w:val="21"/>
        </w:rPr>
        <w:t>22.2.1</w:t>
      </w:r>
      <w:r>
        <w:rPr>
          <w:color w:val="auto"/>
          <w:sz w:val="21"/>
        </w:rPr>
        <w:t>（</w:t>
      </w:r>
      <w:r>
        <w:rPr>
          <w:rFonts w:ascii="Times New Roman" w:eastAsia="Times New Roman"/>
          <w:color w:val="auto"/>
          <w:sz w:val="21"/>
        </w:rPr>
        <w:t>4</w:t>
      </w:r>
      <w:r>
        <w:rPr>
          <w:color w:val="auto"/>
          <w:sz w:val="21"/>
        </w:rPr>
        <w:t>）</w:t>
      </w:r>
      <w:r>
        <w:rPr>
          <w:color w:val="auto"/>
          <w:spacing w:val="-3"/>
          <w:sz w:val="21"/>
        </w:rPr>
        <w:t>目的违约情况时，承包人可书面通知发包人解除合同。</w:t>
      </w:r>
    </w:p>
    <w:p>
      <w:pPr>
        <w:pStyle w:val="8"/>
        <w:spacing w:before="7"/>
        <w:rPr>
          <w:color w:val="auto"/>
          <w:sz w:val="15"/>
        </w:rPr>
      </w:pPr>
    </w:p>
    <w:p>
      <w:pPr>
        <w:pStyle w:val="44"/>
        <w:numPr>
          <w:ilvl w:val="0"/>
          <w:numId w:val="60"/>
        </w:numPr>
        <w:tabs>
          <w:tab w:val="left" w:pos="1163"/>
        </w:tabs>
        <w:spacing w:line="417" w:lineRule="auto"/>
        <w:ind w:left="212" w:right="426" w:firstLine="420"/>
        <w:jc w:val="both"/>
        <w:rPr>
          <w:color w:val="auto"/>
          <w:sz w:val="21"/>
        </w:rPr>
      </w:pPr>
      <w:r>
        <w:rPr>
          <w:color w:val="auto"/>
          <w:spacing w:val="-11"/>
          <w:sz w:val="21"/>
        </w:rPr>
        <w:t xml:space="preserve">承包人按 </w:t>
      </w:r>
      <w:r>
        <w:rPr>
          <w:rFonts w:ascii="Times New Roman" w:eastAsia="Times New Roman"/>
          <w:color w:val="auto"/>
          <w:sz w:val="21"/>
        </w:rPr>
        <w:t>12.2.1</w:t>
      </w:r>
      <w:r>
        <w:rPr>
          <w:rFonts w:ascii="Times New Roman" w:eastAsia="Times New Roman"/>
          <w:color w:val="auto"/>
          <w:spacing w:val="11"/>
          <w:sz w:val="21"/>
        </w:rPr>
        <w:t xml:space="preserve"> </w:t>
      </w:r>
      <w:r>
        <w:rPr>
          <w:color w:val="auto"/>
          <w:spacing w:val="-8"/>
          <w:sz w:val="21"/>
        </w:rPr>
        <w:t xml:space="preserve">项约定暂停施工 </w:t>
      </w:r>
      <w:r>
        <w:rPr>
          <w:rFonts w:ascii="Times New Roman" w:eastAsia="Times New Roman"/>
          <w:color w:val="auto"/>
          <w:sz w:val="21"/>
        </w:rPr>
        <w:t>28</w:t>
      </w:r>
      <w:r>
        <w:rPr>
          <w:rFonts w:ascii="Times New Roman" w:eastAsia="Times New Roman"/>
          <w:color w:val="auto"/>
          <w:spacing w:val="7"/>
          <w:sz w:val="21"/>
        </w:rPr>
        <w:t xml:space="preserve"> </w:t>
      </w:r>
      <w:r>
        <w:rPr>
          <w:color w:val="auto"/>
          <w:spacing w:val="-5"/>
          <w:sz w:val="21"/>
        </w:rPr>
        <w:t>天后，发包人仍不纠正违约行为的，承包人可向发包人发出</w:t>
      </w:r>
      <w:r>
        <w:rPr>
          <w:color w:val="auto"/>
          <w:spacing w:val="-7"/>
          <w:sz w:val="21"/>
        </w:rPr>
        <w:t>解除合同通知。但承包人的这一行为不免除发包人承担的违约责任，也不影响承包人根据合同约定享有的</w:t>
      </w:r>
      <w:r>
        <w:rPr>
          <w:color w:val="auto"/>
          <w:spacing w:val="-4"/>
          <w:sz w:val="21"/>
        </w:rPr>
        <w:t>索赔权利。</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解除合同后的付款</w:t>
      </w:r>
      <w:r>
        <w:rPr>
          <w:color w:val="auto"/>
          <w:sz w:val="21"/>
        </w:rPr>
        <w:t xml:space="preserve"> </w:t>
      </w:r>
    </w:p>
    <w:p>
      <w:pPr>
        <w:pStyle w:val="8"/>
        <w:spacing w:before="6"/>
        <w:rPr>
          <w:color w:val="auto"/>
          <w:sz w:val="15"/>
        </w:rPr>
      </w:pPr>
    </w:p>
    <w:p>
      <w:pPr>
        <w:pStyle w:val="8"/>
        <w:spacing w:line="417" w:lineRule="auto"/>
        <w:ind w:left="212" w:right="382" w:firstLine="420"/>
        <w:rPr>
          <w:color w:val="auto"/>
        </w:rPr>
      </w:pPr>
      <w:r>
        <w:rPr>
          <w:color w:val="auto"/>
        </w:rPr>
        <w:t xml:space="preserve">因发包人违约解除合同的，发包人应在解除合同后 28 天内向承包人支付下列款项，承包人应在此期限内及时向发包人提交要求支付下列金额的有关资料和凭证： </w:t>
      </w:r>
    </w:p>
    <w:p>
      <w:pPr>
        <w:pStyle w:val="44"/>
        <w:numPr>
          <w:ilvl w:val="0"/>
          <w:numId w:val="61"/>
        </w:numPr>
        <w:tabs>
          <w:tab w:val="left" w:pos="1163"/>
        </w:tabs>
        <w:spacing w:before="1"/>
        <w:ind w:hanging="530"/>
        <w:rPr>
          <w:color w:val="auto"/>
          <w:sz w:val="21"/>
        </w:rPr>
      </w:pPr>
      <w:r>
        <w:rPr>
          <w:color w:val="auto"/>
          <w:spacing w:val="-3"/>
          <w:sz w:val="21"/>
        </w:rPr>
        <w:t>承包人发出解除合同通知前所完成工作的价款；</w:t>
      </w:r>
    </w:p>
    <w:p>
      <w:pPr>
        <w:pStyle w:val="8"/>
        <w:spacing w:before="6"/>
        <w:rPr>
          <w:color w:val="auto"/>
          <w:sz w:val="15"/>
        </w:rPr>
      </w:pPr>
    </w:p>
    <w:p>
      <w:pPr>
        <w:pStyle w:val="44"/>
        <w:numPr>
          <w:ilvl w:val="0"/>
          <w:numId w:val="61"/>
        </w:numPr>
        <w:tabs>
          <w:tab w:val="left" w:pos="1165"/>
        </w:tabs>
        <w:spacing w:line="417" w:lineRule="auto"/>
        <w:ind w:left="212" w:right="436" w:firstLine="420"/>
        <w:rPr>
          <w:color w:val="auto"/>
          <w:sz w:val="21"/>
        </w:rPr>
      </w:pPr>
      <w:r>
        <w:rPr>
          <w:color w:val="auto"/>
          <w:spacing w:val="-1"/>
          <w:sz w:val="21"/>
        </w:rPr>
        <w:t>承包人为该工程施工订购并已付款的材料、工程设备和其他物品的金额。发包人付款后，该材</w:t>
      </w:r>
      <w:r>
        <w:rPr>
          <w:color w:val="auto"/>
          <w:spacing w:val="-3"/>
          <w:sz w:val="21"/>
        </w:rPr>
        <w:t>料、工程设备和其他物品归发包人所有；</w:t>
      </w:r>
    </w:p>
    <w:p>
      <w:pPr>
        <w:pStyle w:val="44"/>
        <w:numPr>
          <w:ilvl w:val="0"/>
          <w:numId w:val="61"/>
        </w:numPr>
        <w:tabs>
          <w:tab w:val="left" w:pos="1163"/>
        </w:tabs>
        <w:spacing w:line="269" w:lineRule="exact"/>
        <w:ind w:hanging="530"/>
        <w:rPr>
          <w:color w:val="auto"/>
          <w:sz w:val="21"/>
        </w:rPr>
      </w:pPr>
      <w:r>
        <w:rPr>
          <w:color w:val="auto"/>
          <w:spacing w:val="-3"/>
          <w:sz w:val="21"/>
        </w:rPr>
        <w:t>承包人为完成工程所发生的，而发包人未支付的金额；</w:t>
      </w:r>
    </w:p>
    <w:p>
      <w:pPr>
        <w:pStyle w:val="8"/>
        <w:spacing w:before="7"/>
        <w:rPr>
          <w:color w:val="auto"/>
          <w:sz w:val="15"/>
        </w:rPr>
      </w:pPr>
    </w:p>
    <w:p>
      <w:pPr>
        <w:pStyle w:val="44"/>
        <w:numPr>
          <w:ilvl w:val="0"/>
          <w:numId w:val="61"/>
        </w:numPr>
        <w:tabs>
          <w:tab w:val="left" w:pos="1163"/>
        </w:tabs>
        <w:ind w:hanging="530"/>
        <w:rPr>
          <w:color w:val="auto"/>
          <w:sz w:val="21"/>
        </w:rPr>
      </w:pPr>
      <w:r>
        <w:rPr>
          <w:color w:val="auto"/>
          <w:spacing w:val="-3"/>
          <w:sz w:val="21"/>
        </w:rPr>
        <w:t>承包人撤离施工场地以及遣散承包人人员的金额；</w:t>
      </w:r>
    </w:p>
    <w:p>
      <w:pPr>
        <w:pStyle w:val="8"/>
        <w:spacing w:before="7"/>
        <w:rPr>
          <w:color w:val="auto"/>
          <w:sz w:val="15"/>
        </w:rPr>
      </w:pPr>
    </w:p>
    <w:p>
      <w:pPr>
        <w:pStyle w:val="44"/>
        <w:numPr>
          <w:ilvl w:val="0"/>
          <w:numId w:val="61"/>
        </w:numPr>
        <w:tabs>
          <w:tab w:val="left" w:pos="1163"/>
        </w:tabs>
        <w:ind w:hanging="530"/>
        <w:rPr>
          <w:color w:val="auto"/>
          <w:sz w:val="21"/>
        </w:rPr>
      </w:pPr>
      <w:r>
        <w:rPr>
          <w:color w:val="auto"/>
          <w:spacing w:val="-3"/>
          <w:sz w:val="21"/>
        </w:rPr>
        <w:t>因解除合同造成的承包人损失；</w:t>
      </w:r>
    </w:p>
    <w:p>
      <w:pPr>
        <w:rPr>
          <w:color w:val="auto"/>
          <w:sz w:val="21"/>
        </w:rPr>
        <w:sectPr>
          <w:pgSz w:w="11910" w:h="16840"/>
          <w:pgMar w:top="1560" w:right="700" w:bottom="1180" w:left="920" w:header="0" w:footer="995" w:gutter="0"/>
          <w:cols w:space="720" w:num="1"/>
        </w:sectPr>
      </w:pPr>
    </w:p>
    <w:p>
      <w:pPr>
        <w:pStyle w:val="44"/>
        <w:numPr>
          <w:ilvl w:val="0"/>
          <w:numId w:val="61"/>
        </w:numPr>
        <w:tabs>
          <w:tab w:val="left" w:pos="1163"/>
        </w:tabs>
        <w:spacing w:before="65"/>
        <w:ind w:hanging="530"/>
        <w:rPr>
          <w:color w:val="auto"/>
          <w:sz w:val="21"/>
        </w:rPr>
      </w:pPr>
      <w:r>
        <w:rPr>
          <w:color w:val="auto"/>
          <w:spacing w:val="-3"/>
          <w:sz w:val="21"/>
        </w:rPr>
        <w:t>按合同约定在承包人发出解除合同通知前应支付给承包人的其他金额。</w:t>
      </w:r>
      <w:r>
        <w:rPr>
          <w:color w:val="auto"/>
          <w:sz w:val="21"/>
        </w:rPr>
        <w:t xml:space="preserve"> </w:t>
      </w:r>
    </w:p>
    <w:p>
      <w:pPr>
        <w:pStyle w:val="8"/>
        <w:spacing w:before="7"/>
        <w:rPr>
          <w:color w:val="auto"/>
          <w:sz w:val="15"/>
        </w:rPr>
      </w:pPr>
    </w:p>
    <w:p>
      <w:pPr>
        <w:pStyle w:val="8"/>
        <w:spacing w:line="417" w:lineRule="auto"/>
        <w:ind w:left="212" w:right="402" w:firstLine="420"/>
        <w:rPr>
          <w:color w:val="auto"/>
        </w:rPr>
      </w:pPr>
      <w:r>
        <w:rPr>
          <w:color w:val="auto"/>
        </w:rPr>
        <w:t xml:space="preserve">发包人应按本项约定支付上述金额并退还质量保证金和履约担保，但有权要求承包人支付应偿还给发包人的各项金额。 </w:t>
      </w:r>
    </w:p>
    <w:p>
      <w:pPr>
        <w:pStyle w:val="44"/>
        <w:numPr>
          <w:ilvl w:val="2"/>
          <w:numId w:val="22"/>
        </w:numPr>
        <w:tabs>
          <w:tab w:val="left" w:pos="1163"/>
        </w:tabs>
        <w:spacing w:line="269" w:lineRule="exact"/>
        <w:ind w:left="1162" w:hanging="530"/>
        <w:rPr>
          <w:rFonts w:ascii="Times New Roman" w:eastAsia="Times New Roman"/>
          <w:color w:val="auto"/>
          <w:sz w:val="19"/>
        </w:rPr>
      </w:pPr>
      <w:r>
        <w:rPr>
          <w:color w:val="auto"/>
          <w:spacing w:val="-3"/>
          <w:sz w:val="21"/>
        </w:rPr>
        <w:t>解除合同后的承包人撤离</w:t>
      </w:r>
      <w:r>
        <w:rPr>
          <w:color w:val="auto"/>
          <w:sz w:val="21"/>
        </w:rPr>
        <w:t xml:space="preserve"> </w:t>
      </w:r>
    </w:p>
    <w:p>
      <w:pPr>
        <w:pStyle w:val="8"/>
        <w:spacing w:before="7"/>
        <w:rPr>
          <w:color w:val="auto"/>
          <w:sz w:val="15"/>
        </w:rPr>
      </w:pPr>
    </w:p>
    <w:p>
      <w:pPr>
        <w:pStyle w:val="8"/>
        <w:spacing w:line="417" w:lineRule="auto"/>
        <w:ind w:left="212" w:right="320" w:firstLine="420"/>
        <w:rPr>
          <w:color w:val="auto"/>
        </w:rPr>
      </w:pPr>
      <w:r>
        <w:rPr>
          <w:color w:val="auto"/>
          <w:spacing w:val="-10"/>
        </w:rPr>
        <w:t xml:space="preserve">因发包人违约而解除合同后，承包人应妥善处理正在施工的工程和已购材料、设备的保护和移交工作， </w:t>
      </w:r>
      <w:r>
        <w:rPr>
          <w:color w:val="auto"/>
          <w:spacing w:val="-8"/>
        </w:rPr>
        <w:t xml:space="preserve">并按发包人的要求将承包人设备和人员撤出施工场地。承包人撤出施工场地应遵守第 </w:t>
      </w:r>
      <w:r>
        <w:rPr>
          <w:rFonts w:ascii="Times New Roman" w:eastAsia="Times New Roman"/>
          <w:color w:val="auto"/>
        </w:rPr>
        <w:t xml:space="preserve">18.7.1 </w:t>
      </w:r>
      <w:r>
        <w:rPr>
          <w:color w:val="auto"/>
          <w:spacing w:val="-10"/>
        </w:rPr>
        <w:t>项的约定，发</w:t>
      </w:r>
      <w:r>
        <w:rPr>
          <w:color w:val="auto"/>
          <w:spacing w:val="-5"/>
        </w:rPr>
        <w:t xml:space="preserve">包人应为承包人撤出提供必要条件并办理移交手续。 </w:t>
      </w:r>
    </w:p>
    <w:p>
      <w:pPr>
        <w:pStyle w:val="41"/>
        <w:numPr>
          <w:ilvl w:val="1"/>
          <w:numId w:val="22"/>
        </w:numPr>
        <w:tabs>
          <w:tab w:val="left" w:pos="754"/>
        </w:tabs>
        <w:spacing w:line="287" w:lineRule="exact"/>
        <w:ind w:hanging="542"/>
        <w:rPr>
          <w:rFonts w:ascii="Times New Roman" w:eastAsia="Times New Roman"/>
          <w:color w:val="auto"/>
        </w:rPr>
      </w:pPr>
      <w:bookmarkStart w:id="243" w:name="22.3_第三人造成的违约"/>
      <w:bookmarkEnd w:id="243"/>
      <w:r>
        <w:rPr>
          <w:color w:val="auto"/>
        </w:rPr>
        <w:t>第三人造成的违约</w:t>
      </w:r>
    </w:p>
    <w:p>
      <w:pPr>
        <w:pStyle w:val="8"/>
        <w:spacing w:before="181" w:line="417" w:lineRule="auto"/>
        <w:ind w:left="212" w:right="426" w:firstLine="420"/>
        <w:rPr>
          <w:color w:val="auto"/>
        </w:rPr>
      </w:pPr>
      <w:r>
        <w:rPr>
          <w:color w:val="auto"/>
          <w:spacing w:val="-6"/>
        </w:rPr>
        <w:t>在履行合同过程中，一方当事人因第三人的原因造成违约的，应当向对方当事人承担违约责任。一方</w:t>
      </w:r>
      <w:r>
        <w:rPr>
          <w:color w:val="auto"/>
          <w:spacing w:val="-4"/>
        </w:rPr>
        <w:t xml:space="preserve">当事人和第三人之间的纠纷，依照法律规定或者按照约定解决。 </w:t>
      </w:r>
    </w:p>
    <w:p>
      <w:pPr>
        <w:pStyle w:val="8"/>
        <w:spacing w:before="10"/>
        <w:rPr>
          <w:color w:val="auto"/>
          <w:sz w:val="20"/>
        </w:rPr>
      </w:pPr>
    </w:p>
    <w:p>
      <w:pPr>
        <w:pStyle w:val="37"/>
        <w:numPr>
          <w:ilvl w:val="0"/>
          <w:numId w:val="22"/>
        </w:numPr>
        <w:tabs>
          <w:tab w:val="left" w:pos="828"/>
        </w:tabs>
        <w:spacing w:before="1"/>
        <w:ind w:left="827" w:hanging="616"/>
        <w:rPr>
          <w:rFonts w:ascii="Cambria" w:eastAsia="Cambria"/>
          <w:color w:val="auto"/>
        </w:rPr>
      </w:pPr>
      <w:bookmarkStart w:id="244" w:name="23._索赔"/>
      <w:bookmarkEnd w:id="244"/>
      <w:r>
        <w:rPr>
          <w:color w:val="auto"/>
        </w:rPr>
        <w:t>索赔</w:t>
      </w:r>
    </w:p>
    <w:p>
      <w:pPr>
        <w:pStyle w:val="8"/>
        <w:spacing w:before="11"/>
        <w:rPr>
          <w:b/>
          <w:color w:val="auto"/>
          <w:sz w:val="34"/>
        </w:rPr>
      </w:pPr>
    </w:p>
    <w:p>
      <w:pPr>
        <w:pStyle w:val="41"/>
        <w:numPr>
          <w:ilvl w:val="1"/>
          <w:numId w:val="22"/>
        </w:numPr>
        <w:tabs>
          <w:tab w:val="left" w:pos="754"/>
        </w:tabs>
        <w:ind w:hanging="542"/>
        <w:rPr>
          <w:rFonts w:ascii="Times New Roman" w:eastAsia="Times New Roman"/>
          <w:color w:val="auto"/>
        </w:rPr>
      </w:pPr>
      <w:bookmarkStart w:id="245" w:name="23.1_承包人索赔的提出"/>
      <w:bookmarkEnd w:id="245"/>
      <w:r>
        <w:rPr>
          <w:color w:val="auto"/>
        </w:rPr>
        <w:t>承包人索赔的提出</w:t>
      </w:r>
    </w:p>
    <w:p>
      <w:pPr>
        <w:pStyle w:val="8"/>
        <w:spacing w:before="181"/>
        <w:ind w:left="633"/>
        <w:rPr>
          <w:color w:val="auto"/>
        </w:rPr>
      </w:pPr>
      <w:r>
        <w:rPr>
          <w:color w:val="auto"/>
        </w:rPr>
        <w:t xml:space="preserve">根据合同约定，承包人认为有权得到追加付款和（或）延长工期的，应按以下程序向发包人提出索赔： </w:t>
      </w:r>
    </w:p>
    <w:p>
      <w:pPr>
        <w:pStyle w:val="8"/>
        <w:spacing w:before="7"/>
        <w:rPr>
          <w:color w:val="auto"/>
          <w:sz w:val="15"/>
        </w:rPr>
      </w:pPr>
    </w:p>
    <w:p>
      <w:pPr>
        <w:pStyle w:val="44"/>
        <w:numPr>
          <w:ilvl w:val="0"/>
          <w:numId w:val="62"/>
        </w:numPr>
        <w:tabs>
          <w:tab w:val="left" w:pos="1160"/>
        </w:tabs>
        <w:rPr>
          <w:color w:val="auto"/>
          <w:sz w:val="21"/>
        </w:rPr>
      </w:pPr>
      <w:r>
        <w:rPr>
          <w:color w:val="auto"/>
          <w:spacing w:val="-6"/>
          <w:sz w:val="21"/>
        </w:rPr>
        <w:t xml:space="preserve">承包人应在知道或应当知道索赔事件发生后 </w:t>
      </w:r>
      <w:r>
        <w:rPr>
          <w:rFonts w:ascii="Times New Roman" w:eastAsia="Times New Roman"/>
          <w:color w:val="auto"/>
          <w:sz w:val="21"/>
        </w:rPr>
        <w:t>28</w:t>
      </w:r>
      <w:r>
        <w:rPr>
          <w:rFonts w:ascii="Times New Roman" w:eastAsia="Times New Roman"/>
          <w:color w:val="auto"/>
          <w:spacing w:val="6"/>
          <w:sz w:val="21"/>
        </w:rPr>
        <w:t xml:space="preserve"> </w:t>
      </w:r>
      <w:r>
        <w:rPr>
          <w:color w:val="auto"/>
          <w:spacing w:val="-9"/>
          <w:sz w:val="21"/>
        </w:rPr>
        <w:t>天内，向监理人递交索赔意向通知书，并说明发</w:t>
      </w:r>
    </w:p>
    <w:p>
      <w:pPr>
        <w:pStyle w:val="8"/>
        <w:spacing w:before="7"/>
        <w:rPr>
          <w:color w:val="auto"/>
          <w:sz w:val="15"/>
        </w:rPr>
      </w:pPr>
    </w:p>
    <w:p>
      <w:pPr>
        <w:pStyle w:val="8"/>
        <w:spacing w:line="415" w:lineRule="auto"/>
        <w:ind w:left="212" w:right="426"/>
        <w:rPr>
          <w:color w:val="auto"/>
        </w:rPr>
      </w:pPr>
      <w:r>
        <w:rPr>
          <w:color w:val="auto"/>
        </w:rPr>
        <w:t xml:space="preserve">生索赔事件的事由。承包人未在前述 </w:t>
      </w:r>
      <w:r>
        <w:rPr>
          <w:rFonts w:ascii="Times New Roman" w:eastAsia="Times New Roman"/>
          <w:color w:val="auto"/>
        </w:rPr>
        <w:t xml:space="preserve">28 </w:t>
      </w:r>
      <w:r>
        <w:rPr>
          <w:color w:val="auto"/>
        </w:rPr>
        <w:t>天内发出索赔意向通知书的，工期不予顺延，且承包人无权获得追加付款；</w:t>
      </w:r>
    </w:p>
    <w:p>
      <w:pPr>
        <w:pStyle w:val="44"/>
        <w:numPr>
          <w:ilvl w:val="0"/>
          <w:numId w:val="62"/>
        </w:numPr>
        <w:tabs>
          <w:tab w:val="left" w:pos="1163"/>
        </w:tabs>
        <w:spacing w:before="3" w:line="417" w:lineRule="auto"/>
        <w:ind w:left="212" w:right="428" w:firstLine="420"/>
        <w:rPr>
          <w:color w:val="auto"/>
          <w:sz w:val="21"/>
        </w:rPr>
      </w:pPr>
      <w:r>
        <w:rPr>
          <w:color w:val="auto"/>
          <w:spacing w:val="-5"/>
          <w:sz w:val="21"/>
        </w:rPr>
        <w:t xml:space="preserve">承包人应在发出索赔意向通知书后 </w:t>
      </w:r>
      <w:r>
        <w:rPr>
          <w:rFonts w:ascii="Times New Roman" w:eastAsia="Times New Roman"/>
          <w:color w:val="auto"/>
          <w:sz w:val="21"/>
        </w:rPr>
        <w:t>28</w:t>
      </w:r>
      <w:r>
        <w:rPr>
          <w:rFonts w:ascii="Times New Roman" w:eastAsia="Times New Roman"/>
          <w:color w:val="auto"/>
          <w:spacing w:val="22"/>
          <w:sz w:val="21"/>
        </w:rPr>
        <w:t xml:space="preserve"> </w:t>
      </w:r>
      <w:r>
        <w:rPr>
          <w:color w:val="auto"/>
          <w:spacing w:val="-5"/>
          <w:sz w:val="21"/>
        </w:rPr>
        <w:t>天内，向监理人正式递交索赔通知书。索赔通知书应详细</w:t>
      </w:r>
      <w:r>
        <w:rPr>
          <w:color w:val="auto"/>
          <w:spacing w:val="-4"/>
          <w:sz w:val="21"/>
        </w:rPr>
        <w:t>说明索赔理由以及要求追加的付款金额和</w:t>
      </w:r>
      <w:r>
        <w:rPr>
          <w:color w:val="auto"/>
          <w:sz w:val="21"/>
        </w:rPr>
        <w:t>（</w:t>
      </w:r>
      <w:r>
        <w:rPr>
          <w:color w:val="auto"/>
          <w:spacing w:val="-3"/>
          <w:sz w:val="21"/>
        </w:rPr>
        <w:t>或</w:t>
      </w:r>
      <w:r>
        <w:rPr>
          <w:color w:val="auto"/>
          <w:sz w:val="21"/>
        </w:rPr>
        <w:t>）</w:t>
      </w:r>
      <w:r>
        <w:rPr>
          <w:color w:val="auto"/>
          <w:spacing w:val="-3"/>
          <w:sz w:val="21"/>
        </w:rPr>
        <w:t>延长的工期，并附必要的记录和证明材料；</w:t>
      </w:r>
    </w:p>
    <w:p>
      <w:pPr>
        <w:pStyle w:val="44"/>
        <w:numPr>
          <w:ilvl w:val="0"/>
          <w:numId w:val="62"/>
        </w:numPr>
        <w:tabs>
          <w:tab w:val="left" w:pos="1165"/>
        </w:tabs>
        <w:spacing w:line="417" w:lineRule="auto"/>
        <w:ind w:left="212" w:right="436" w:firstLine="420"/>
        <w:rPr>
          <w:color w:val="auto"/>
          <w:sz w:val="21"/>
        </w:rPr>
      </w:pPr>
      <w:r>
        <w:rPr>
          <w:color w:val="auto"/>
          <w:spacing w:val="-1"/>
          <w:sz w:val="21"/>
        </w:rPr>
        <w:t>索赔事件具有连续影响的，承包人应按合理时间间隔继续递交延续索赔通知，说明连续影响的</w:t>
      </w:r>
      <w:r>
        <w:rPr>
          <w:color w:val="auto"/>
          <w:spacing w:val="-3"/>
          <w:sz w:val="21"/>
        </w:rPr>
        <w:t>实际情况和记录，列出累计的追加付款金额和</w:t>
      </w:r>
      <w:r>
        <w:rPr>
          <w:color w:val="auto"/>
          <w:sz w:val="21"/>
        </w:rPr>
        <w:t>（</w:t>
      </w:r>
      <w:r>
        <w:rPr>
          <w:color w:val="auto"/>
          <w:spacing w:val="-3"/>
          <w:sz w:val="21"/>
        </w:rPr>
        <w:t>或</w:t>
      </w:r>
      <w:r>
        <w:rPr>
          <w:color w:val="auto"/>
          <w:sz w:val="21"/>
        </w:rPr>
        <w:t>）</w:t>
      </w:r>
      <w:r>
        <w:rPr>
          <w:color w:val="auto"/>
          <w:spacing w:val="-3"/>
          <w:sz w:val="21"/>
        </w:rPr>
        <w:t>工期延长天数；</w:t>
      </w:r>
    </w:p>
    <w:p>
      <w:pPr>
        <w:pStyle w:val="44"/>
        <w:numPr>
          <w:ilvl w:val="0"/>
          <w:numId w:val="62"/>
        </w:numPr>
        <w:tabs>
          <w:tab w:val="left" w:pos="1160"/>
        </w:tabs>
        <w:spacing w:line="417" w:lineRule="auto"/>
        <w:ind w:left="212" w:right="426" w:firstLine="420"/>
        <w:rPr>
          <w:color w:val="auto"/>
          <w:sz w:val="21"/>
        </w:rPr>
      </w:pPr>
      <w:r>
        <w:rPr>
          <w:color w:val="auto"/>
          <w:spacing w:val="-6"/>
          <w:sz w:val="21"/>
        </w:rPr>
        <w:t xml:space="preserve">在索赔事件影响结束后的 </w:t>
      </w:r>
      <w:r>
        <w:rPr>
          <w:color w:val="auto"/>
          <w:sz w:val="21"/>
        </w:rPr>
        <w:t>28</w:t>
      </w:r>
      <w:r>
        <w:rPr>
          <w:color w:val="auto"/>
          <w:spacing w:val="-5"/>
          <w:sz w:val="21"/>
        </w:rPr>
        <w:t xml:space="preserve"> 天内，承包人应向监理人递交最终索赔通知书，说明最终要求索</w:t>
      </w:r>
      <w:r>
        <w:rPr>
          <w:color w:val="auto"/>
          <w:spacing w:val="-4"/>
          <w:sz w:val="21"/>
        </w:rPr>
        <w:t xml:space="preserve">赔的追加付款金额和延长的工期，并附必要的记录和证明材料。 </w:t>
      </w:r>
    </w:p>
    <w:p>
      <w:pPr>
        <w:pStyle w:val="41"/>
        <w:numPr>
          <w:ilvl w:val="1"/>
          <w:numId w:val="22"/>
        </w:numPr>
        <w:tabs>
          <w:tab w:val="left" w:pos="754"/>
        </w:tabs>
        <w:spacing w:line="287" w:lineRule="exact"/>
        <w:ind w:hanging="542"/>
        <w:rPr>
          <w:rFonts w:ascii="Times New Roman" w:eastAsia="Times New Roman"/>
          <w:color w:val="auto"/>
        </w:rPr>
      </w:pPr>
      <w:bookmarkStart w:id="246" w:name="23.2_承包人索赔处理程序"/>
      <w:bookmarkEnd w:id="246"/>
      <w:r>
        <w:rPr>
          <w:color w:val="auto"/>
        </w:rPr>
        <w:t>承包人索赔处理程序</w:t>
      </w:r>
    </w:p>
    <w:p>
      <w:pPr>
        <w:pStyle w:val="44"/>
        <w:numPr>
          <w:ilvl w:val="0"/>
          <w:numId w:val="63"/>
        </w:numPr>
        <w:tabs>
          <w:tab w:val="left" w:pos="1165"/>
        </w:tabs>
        <w:spacing w:before="180" w:line="417" w:lineRule="auto"/>
        <w:ind w:right="436" w:firstLine="420"/>
        <w:rPr>
          <w:color w:val="auto"/>
          <w:sz w:val="21"/>
        </w:rPr>
      </w:pPr>
      <w:r>
        <w:rPr>
          <w:color w:val="auto"/>
          <w:spacing w:val="-1"/>
          <w:sz w:val="21"/>
        </w:rPr>
        <w:t>监理人收到承包人提交的索赔通知书后，应及时审查索赔通知书的内容、查验承包人的记录和</w:t>
      </w:r>
      <w:r>
        <w:rPr>
          <w:color w:val="auto"/>
          <w:spacing w:val="-3"/>
          <w:sz w:val="21"/>
        </w:rPr>
        <w:t>证明材料，必要时监理人可要求承包人提交全部原始记录副本。</w:t>
      </w:r>
    </w:p>
    <w:p>
      <w:pPr>
        <w:pStyle w:val="44"/>
        <w:numPr>
          <w:ilvl w:val="0"/>
          <w:numId w:val="63"/>
        </w:numPr>
        <w:tabs>
          <w:tab w:val="left" w:pos="1163"/>
        </w:tabs>
        <w:spacing w:line="269" w:lineRule="exact"/>
        <w:ind w:left="1162" w:hanging="530"/>
        <w:rPr>
          <w:color w:val="auto"/>
          <w:sz w:val="21"/>
        </w:rPr>
      </w:pPr>
      <w:r>
        <w:rPr>
          <w:color w:val="auto"/>
          <w:sz w:val="21"/>
        </w:rPr>
        <w:t xml:space="preserve">监理人应按第 </w:t>
      </w:r>
      <w:r>
        <w:rPr>
          <w:rFonts w:ascii="Times New Roman" w:eastAsia="Times New Roman"/>
          <w:color w:val="auto"/>
          <w:sz w:val="21"/>
        </w:rPr>
        <w:t>3.5</w:t>
      </w:r>
      <w:r>
        <w:rPr>
          <w:rFonts w:ascii="Times New Roman" w:eastAsia="Times New Roman"/>
          <w:color w:val="auto"/>
          <w:spacing w:val="6"/>
          <w:sz w:val="21"/>
        </w:rPr>
        <w:t xml:space="preserve"> </w:t>
      </w:r>
      <w:r>
        <w:rPr>
          <w:color w:val="auto"/>
          <w:spacing w:val="-2"/>
          <w:sz w:val="21"/>
        </w:rPr>
        <w:t>款商定或确定追加的付款和</w:t>
      </w:r>
      <w:r>
        <w:rPr>
          <w:color w:val="auto"/>
          <w:sz w:val="21"/>
        </w:rPr>
        <w:t>（或）</w:t>
      </w:r>
      <w:r>
        <w:rPr>
          <w:color w:val="auto"/>
          <w:spacing w:val="-3"/>
          <w:sz w:val="21"/>
        </w:rPr>
        <w:t>延长的工期，并在收到上述索赔通知书或</w:t>
      </w:r>
    </w:p>
    <w:p>
      <w:pPr>
        <w:pStyle w:val="8"/>
        <w:spacing w:before="7"/>
        <w:rPr>
          <w:color w:val="auto"/>
          <w:sz w:val="15"/>
        </w:rPr>
      </w:pPr>
    </w:p>
    <w:p>
      <w:pPr>
        <w:pStyle w:val="8"/>
        <w:ind w:left="212"/>
        <w:rPr>
          <w:color w:val="auto"/>
        </w:rPr>
      </w:pPr>
      <w:r>
        <w:rPr>
          <w:color w:val="auto"/>
          <w:spacing w:val="-4"/>
        </w:rPr>
        <w:t xml:space="preserve">有关索赔的进一步证明材料后的 </w:t>
      </w:r>
      <w:r>
        <w:rPr>
          <w:rFonts w:ascii="Times New Roman" w:eastAsia="Times New Roman"/>
          <w:color w:val="auto"/>
        </w:rPr>
        <w:t xml:space="preserve">42 </w:t>
      </w:r>
      <w:r>
        <w:rPr>
          <w:color w:val="auto"/>
          <w:spacing w:val="-3"/>
        </w:rPr>
        <w:t>天内，将索赔处理结果答复承包人。监理人应当在收到索赔通知书或</w:t>
      </w:r>
    </w:p>
    <w:p>
      <w:pPr>
        <w:pStyle w:val="8"/>
        <w:spacing w:before="6"/>
        <w:rPr>
          <w:color w:val="auto"/>
          <w:sz w:val="15"/>
        </w:rPr>
      </w:pPr>
    </w:p>
    <w:p>
      <w:pPr>
        <w:pStyle w:val="8"/>
        <w:spacing w:before="1"/>
        <w:ind w:left="212"/>
        <w:rPr>
          <w:color w:val="auto"/>
        </w:rPr>
      </w:pPr>
      <w:r>
        <w:rPr>
          <w:color w:val="auto"/>
        </w:rPr>
        <w:t xml:space="preserve">有关索赔的进一步证明材料后的 </w:t>
      </w:r>
      <w:r>
        <w:rPr>
          <w:rFonts w:ascii="Times New Roman" w:eastAsia="Times New Roman"/>
          <w:color w:val="auto"/>
        </w:rPr>
        <w:t xml:space="preserve">42 </w:t>
      </w:r>
      <w:r>
        <w:rPr>
          <w:color w:val="auto"/>
        </w:rPr>
        <w:t>天内不予答复的，视为认可索赔。</w:t>
      </w:r>
    </w:p>
    <w:p>
      <w:pPr>
        <w:rPr>
          <w:color w:val="auto"/>
        </w:rPr>
        <w:sectPr>
          <w:pgSz w:w="11910" w:h="16840"/>
          <w:pgMar w:top="1540" w:right="700" w:bottom="1180" w:left="920" w:header="0" w:footer="995" w:gutter="0"/>
          <w:cols w:space="720" w:num="1"/>
        </w:sectPr>
      </w:pPr>
    </w:p>
    <w:p>
      <w:pPr>
        <w:pStyle w:val="44"/>
        <w:numPr>
          <w:ilvl w:val="0"/>
          <w:numId w:val="63"/>
        </w:numPr>
        <w:tabs>
          <w:tab w:val="left" w:pos="1160"/>
        </w:tabs>
        <w:spacing w:before="65" w:line="417" w:lineRule="auto"/>
        <w:ind w:right="429" w:firstLine="420"/>
        <w:rPr>
          <w:color w:val="auto"/>
          <w:sz w:val="21"/>
        </w:rPr>
      </w:pPr>
      <w:r>
        <w:rPr>
          <w:color w:val="auto"/>
          <w:spacing w:val="-6"/>
          <w:sz w:val="21"/>
        </w:rPr>
        <w:t xml:space="preserve">承包人接受索赔处理结果的，发包人应在作出索赔处理结果答复后 </w:t>
      </w:r>
      <w:r>
        <w:rPr>
          <w:color w:val="auto"/>
          <w:sz w:val="21"/>
        </w:rPr>
        <w:t>28</w:t>
      </w:r>
      <w:r>
        <w:rPr>
          <w:color w:val="auto"/>
          <w:spacing w:val="-3"/>
          <w:sz w:val="21"/>
        </w:rPr>
        <w:t xml:space="preserve"> 天内完成赔付。承包人</w:t>
      </w:r>
      <w:r>
        <w:rPr>
          <w:color w:val="auto"/>
          <w:spacing w:val="-7"/>
          <w:sz w:val="21"/>
        </w:rPr>
        <w:t xml:space="preserve">不接受索赔处理结果的，按第 </w:t>
      </w:r>
      <w:r>
        <w:rPr>
          <w:color w:val="auto"/>
          <w:sz w:val="21"/>
        </w:rPr>
        <w:t>24</w:t>
      </w:r>
      <w:r>
        <w:rPr>
          <w:color w:val="auto"/>
          <w:spacing w:val="-10"/>
          <w:sz w:val="21"/>
        </w:rPr>
        <w:t xml:space="preserve"> 条的约定执行。</w:t>
      </w:r>
      <w:r>
        <w:rPr>
          <w:color w:val="auto"/>
          <w:sz w:val="21"/>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47" w:name="23.3_承包人提出索赔的期限"/>
      <w:bookmarkEnd w:id="247"/>
      <w:r>
        <w:rPr>
          <w:color w:val="auto"/>
        </w:rPr>
        <w:t>承包人提出索赔的期限</w:t>
      </w:r>
    </w:p>
    <w:p>
      <w:pPr>
        <w:pStyle w:val="44"/>
        <w:numPr>
          <w:ilvl w:val="2"/>
          <w:numId w:val="22"/>
        </w:numPr>
        <w:tabs>
          <w:tab w:val="left" w:pos="1163"/>
        </w:tabs>
        <w:spacing w:before="181" w:line="417" w:lineRule="auto"/>
        <w:ind w:left="212" w:right="429" w:firstLine="420"/>
        <w:rPr>
          <w:rFonts w:ascii="Times New Roman" w:eastAsia="Times New Roman"/>
          <w:color w:val="auto"/>
          <w:sz w:val="19"/>
        </w:rPr>
      </w:pPr>
      <w:r>
        <w:rPr>
          <w:color w:val="auto"/>
          <w:sz w:val="21"/>
        </w:rPr>
        <w:t xml:space="preserve">承包人按第 </w:t>
      </w:r>
      <w:r>
        <w:rPr>
          <w:rFonts w:ascii="Times New Roman" w:eastAsia="Times New Roman"/>
          <w:color w:val="auto"/>
          <w:sz w:val="21"/>
        </w:rPr>
        <w:t>17.5</w:t>
      </w:r>
      <w:r>
        <w:rPr>
          <w:rFonts w:ascii="Times New Roman" w:eastAsia="Times New Roman"/>
          <w:color w:val="auto"/>
          <w:spacing w:val="11"/>
          <w:sz w:val="21"/>
        </w:rPr>
        <w:t xml:space="preserve"> </w:t>
      </w:r>
      <w:r>
        <w:rPr>
          <w:color w:val="auto"/>
          <w:spacing w:val="-3"/>
          <w:sz w:val="21"/>
        </w:rPr>
        <w:t xml:space="preserve">款的约定接受了竣工付款证书后，应被认为已无权再提出在合同工程接收证书颁发前所发生的任何索赔。 </w:t>
      </w:r>
    </w:p>
    <w:p>
      <w:pPr>
        <w:pStyle w:val="44"/>
        <w:numPr>
          <w:ilvl w:val="2"/>
          <w:numId w:val="22"/>
        </w:numPr>
        <w:tabs>
          <w:tab w:val="left" w:pos="1267"/>
        </w:tabs>
        <w:spacing w:line="417" w:lineRule="auto"/>
        <w:ind w:left="212" w:right="429" w:firstLine="420"/>
        <w:rPr>
          <w:rFonts w:ascii="Times New Roman" w:eastAsia="Times New Roman"/>
          <w:color w:val="auto"/>
          <w:sz w:val="21"/>
        </w:rPr>
      </w:pPr>
      <w:r>
        <w:rPr>
          <w:color w:val="auto"/>
          <w:spacing w:val="1"/>
          <w:sz w:val="21"/>
        </w:rPr>
        <w:t xml:space="preserve">承包人按第 </w:t>
      </w:r>
      <w:r>
        <w:rPr>
          <w:rFonts w:ascii="Times New Roman" w:eastAsia="Times New Roman"/>
          <w:color w:val="auto"/>
          <w:sz w:val="21"/>
        </w:rPr>
        <w:t>17.6</w:t>
      </w:r>
      <w:r>
        <w:rPr>
          <w:rFonts w:ascii="Times New Roman" w:eastAsia="Times New Roman"/>
          <w:color w:val="auto"/>
          <w:spacing w:val="18"/>
          <w:sz w:val="21"/>
        </w:rPr>
        <w:t xml:space="preserve"> </w:t>
      </w:r>
      <w:r>
        <w:rPr>
          <w:color w:val="auto"/>
          <w:spacing w:val="-3"/>
          <w:sz w:val="21"/>
        </w:rPr>
        <w:t xml:space="preserve">款的约定提交的最终结清申请单中，只限于提出工程接收证书颁发后发生的索赔。提出索赔的期限自接受最终结清证书时终止。 </w:t>
      </w:r>
    </w:p>
    <w:p>
      <w:pPr>
        <w:pStyle w:val="41"/>
        <w:numPr>
          <w:ilvl w:val="1"/>
          <w:numId w:val="22"/>
        </w:numPr>
        <w:tabs>
          <w:tab w:val="left" w:pos="754"/>
        </w:tabs>
        <w:spacing w:line="287" w:lineRule="exact"/>
        <w:ind w:hanging="542"/>
        <w:rPr>
          <w:rFonts w:ascii="Times New Roman" w:eastAsia="Times New Roman"/>
          <w:color w:val="auto"/>
        </w:rPr>
      </w:pPr>
      <w:bookmarkStart w:id="248" w:name="23.4_发包人的索赔"/>
      <w:bookmarkEnd w:id="248"/>
      <w:r>
        <w:rPr>
          <w:color w:val="auto"/>
        </w:rPr>
        <w:t>发包人的索赔</w:t>
      </w:r>
    </w:p>
    <w:p>
      <w:pPr>
        <w:pStyle w:val="44"/>
        <w:numPr>
          <w:ilvl w:val="2"/>
          <w:numId w:val="22"/>
        </w:numPr>
        <w:tabs>
          <w:tab w:val="left" w:pos="1163"/>
        </w:tabs>
        <w:spacing w:before="181"/>
        <w:ind w:left="1162" w:hanging="530"/>
        <w:rPr>
          <w:rFonts w:ascii="Times New Roman" w:eastAsia="Times New Roman"/>
          <w:color w:val="auto"/>
          <w:sz w:val="19"/>
        </w:rPr>
      </w:pPr>
      <w:r>
        <w:rPr>
          <w:color w:val="auto"/>
          <w:spacing w:val="-4"/>
          <w:sz w:val="21"/>
        </w:rPr>
        <w:t xml:space="preserve">发包人应在知道或应当知道索赔事件发生后 </w:t>
      </w:r>
      <w:r>
        <w:rPr>
          <w:color w:val="auto"/>
          <w:sz w:val="21"/>
        </w:rPr>
        <w:t>28</w:t>
      </w:r>
      <w:r>
        <w:rPr>
          <w:color w:val="auto"/>
          <w:spacing w:val="-3"/>
          <w:sz w:val="21"/>
        </w:rPr>
        <w:t xml:space="preserve"> 天内，向承包人发出索赔通知，并说明发包人</w:t>
      </w:r>
    </w:p>
    <w:p>
      <w:pPr>
        <w:pStyle w:val="8"/>
        <w:spacing w:before="7"/>
        <w:rPr>
          <w:color w:val="auto"/>
          <w:sz w:val="15"/>
        </w:rPr>
      </w:pPr>
    </w:p>
    <w:p>
      <w:pPr>
        <w:pStyle w:val="8"/>
        <w:ind w:left="212"/>
        <w:rPr>
          <w:color w:val="auto"/>
        </w:rPr>
      </w:pPr>
      <w:r>
        <w:rPr>
          <w:color w:val="auto"/>
        </w:rPr>
        <w:t>有权扣减的付款和（或）延长缺陷责任期的细节和依据。发包人未在前述 28 天内发出索赔通知的，丧失</w:t>
      </w:r>
    </w:p>
    <w:p>
      <w:pPr>
        <w:pStyle w:val="8"/>
        <w:spacing w:before="7"/>
        <w:rPr>
          <w:color w:val="auto"/>
          <w:sz w:val="15"/>
        </w:rPr>
      </w:pPr>
    </w:p>
    <w:p>
      <w:pPr>
        <w:pStyle w:val="8"/>
        <w:spacing w:line="417" w:lineRule="auto"/>
        <w:ind w:left="212" w:right="428"/>
        <w:rPr>
          <w:color w:val="auto"/>
        </w:rPr>
      </w:pPr>
      <w:r>
        <w:rPr>
          <w:color w:val="auto"/>
        </w:rPr>
        <w:t xml:space="preserve">要求扣减付款和（或）延长缺陷责任期的权利。发包人提出索赔的期限和要求与第 </w:t>
      </w:r>
      <w:r>
        <w:rPr>
          <w:rFonts w:ascii="Times New Roman" w:eastAsia="Times New Roman"/>
          <w:color w:val="auto"/>
        </w:rPr>
        <w:t xml:space="preserve">23.3 </w:t>
      </w:r>
      <w:r>
        <w:rPr>
          <w:color w:val="auto"/>
        </w:rPr>
        <w:t xml:space="preserve">款的约定相同， 要求延长缺陷责任期的通知应在缺陷责任期届满前发出。 </w:t>
      </w:r>
    </w:p>
    <w:p>
      <w:pPr>
        <w:pStyle w:val="44"/>
        <w:numPr>
          <w:ilvl w:val="2"/>
          <w:numId w:val="22"/>
        </w:numPr>
        <w:tabs>
          <w:tab w:val="left" w:pos="1163"/>
        </w:tabs>
        <w:spacing w:line="417" w:lineRule="auto"/>
        <w:ind w:left="212" w:right="320" w:firstLine="420"/>
        <w:rPr>
          <w:rFonts w:ascii="Times New Roman" w:eastAsia="Times New Roman"/>
          <w:color w:val="auto"/>
          <w:sz w:val="19"/>
        </w:rPr>
      </w:pPr>
      <w:r>
        <w:rPr>
          <w:color w:val="auto"/>
          <w:spacing w:val="-10"/>
          <w:sz w:val="21"/>
        </w:rPr>
        <w:t xml:space="preserve">发包人按第 </w:t>
      </w:r>
      <w:r>
        <w:rPr>
          <w:rFonts w:ascii="Times New Roman" w:eastAsia="Times New Roman"/>
          <w:color w:val="auto"/>
          <w:sz w:val="21"/>
        </w:rPr>
        <w:t>3.5</w:t>
      </w:r>
      <w:r>
        <w:rPr>
          <w:rFonts w:ascii="Times New Roman" w:eastAsia="Times New Roman"/>
          <w:color w:val="auto"/>
          <w:spacing w:val="18"/>
          <w:sz w:val="21"/>
        </w:rPr>
        <w:t xml:space="preserve"> </w:t>
      </w:r>
      <w:r>
        <w:rPr>
          <w:color w:val="auto"/>
          <w:spacing w:val="-6"/>
          <w:sz w:val="21"/>
        </w:rPr>
        <w:t>款商定或确定发包人从承包人处得到赔付的金额和</w:t>
      </w:r>
      <w:r>
        <w:rPr>
          <w:color w:val="auto"/>
          <w:spacing w:val="-3"/>
          <w:sz w:val="21"/>
        </w:rPr>
        <w:t>（</w:t>
      </w:r>
      <w:r>
        <w:rPr>
          <w:color w:val="auto"/>
          <w:sz w:val="21"/>
        </w:rPr>
        <w:t>或</w:t>
      </w:r>
      <w:r>
        <w:rPr>
          <w:color w:val="auto"/>
          <w:spacing w:val="-65"/>
          <w:sz w:val="21"/>
        </w:rPr>
        <w:t>）</w:t>
      </w:r>
      <w:r>
        <w:rPr>
          <w:color w:val="auto"/>
          <w:spacing w:val="-3"/>
          <w:sz w:val="21"/>
        </w:rPr>
        <w:t>缺陷责任期的延长期。</w:t>
      </w:r>
      <w:r>
        <w:rPr>
          <w:color w:val="auto"/>
          <w:sz w:val="21"/>
        </w:rPr>
        <w:t xml:space="preserve">承包人应付给发包人的金额可从拟支付给承包人的合同价款中扣除，或由承包人以其他方式支付给发包 人。 </w:t>
      </w:r>
    </w:p>
    <w:p>
      <w:pPr>
        <w:pStyle w:val="8"/>
        <w:spacing w:before="10"/>
        <w:rPr>
          <w:color w:val="auto"/>
          <w:sz w:val="20"/>
        </w:rPr>
      </w:pPr>
    </w:p>
    <w:p>
      <w:pPr>
        <w:pStyle w:val="37"/>
        <w:numPr>
          <w:ilvl w:val="0"/>
          <w:numId w:val="22"/>
        </w:numPr>
        <w:tabs>
          <w:tab w:val="left" w:pos="828"/>
        </w:tabs>
        <w:ind w:left="827" w:hanging="616"/>
        <w:rPr>
          <w:rFonts w:ascii="Cambria" w:eastAsia="Cambria"/>
          <w:color w:val="auto"/>
        </w:rPr>
      </w:pPr>
      <w:bookmarkStart w:id="249" w:name="24._争议的解决"/>
      <w:bookmarkEnd w:id="249"/>
      <w:r>
        <w:rPr>
          <w:color w:val="auto"/>
        </w:rPr>
        <w:t>争议的解决</w:t>
      </w:r>
    </w:p>
    <w:p>
      <w:pPr>
        <w:pStyle w:val="8"/>
        <w:spacing w:before="9"/>
        <w:rPr>
          <w:b/>
          <w:color w:val="auto"/>
          <w:sz w:val="34"/>
        </w:rPr>
      </w:pPr>
    </w:p>
    <w:p>
      <w:pPr>
        <w:pStyle w:val="41"/>
        <w:numPr>
          <w:ilvl w:val="1"/>
          <w:numId w:val="22"/>
        </w:numPr>
        <w:tabs>
          <w:tab w:val="left" w:pos="754"/>
        </w:tabs>
        <w:spacing w:before="1"/>
        <w:ind w:hanging="542"/>
        <w:rPr>
          <w:rFonts w:ascii="Times New Roman" w:eastAsia="Times New Roman"/>
          <w:color w:val="auto"/>
        </w:rPr>
      </w:pPr>
      <w:bookmarkStart w:id="250" w:name="24.1_争议的解决方式"/>
      <w:bookmarkEnd w:id="250"/>
      <w:r>
        <w:rPr>
          <w:color w:val="auto"/>
        </w:rPr>
        <w:t>争议的解决方式</w:t>
      </w:r>
    </w:p>
    <w:p>
      <w:pPr>
        <w:pStyle w:val="8"/>
        <w:spacing w:before="180" w:line="417" w:lineRule="auto"/>
        <w:ind w:left="212" w:right="426" w:firstLine="420"/>
        <w:jc w:val="both"/>
        <w:rPr>
          <w:color w:val="auto"/>
        </w:rPr>
      </w:pPr>
      <w:r>
        <w:rPr>
          <w:color w:val="auto"/>
          <w:spacing w:val="-5"/>
        </w:rPr>
        <w:t>发包人和承包人在履行合同中发生争议的，可以友好协商解决或者提请争议评审组评审。合同当事人</w:t>
      </w:r>
      <w:r>
        <w:rPr>
          <w:color w:val="auto"/>
          <w:spacing w:val="-7"/>
        </w:rPr>
        <w:t>友好协商解决不成、不愿提请争议评审或者不接受争议评审组意见的，可在专用合同条款中约定下列一种</w:t>
      </w:r>
      <w:r>
        <w:rPr>
          <w:color w:val="auto"/>
          <w:spacing w:val="-5"/>
        </w:rPr>
        <w:t>方式解决：</w:t>
      </w:r>
      <w:r>
        <w:rPr>
          <w:color w:val="auto"/>
        </w:rPr>
        <w:t xml:space="preserve"> </w:t>
      </w:r>
    </w:p>
    <w:p>
      <w:pPr>
        <w:pStyle w:val="44"/>
        <w:numPr>
          <w:ilvl w:val="0"/>
          <w:numId w:val="64"/>
        </w:numPr>
        <w:tabs>
          <w:tab w:val="left" w:pos="1163"/>
        </w:tabs>
        <w:spacing w:line="269" w:lineRule="exact"/>
        <w:ind w:hanging="530"/>
        <w:rPr>
          <w:color w:val="auto"/>
          <w:sz w:val="21"/>
        </w:rPr>
      </w:pPr>
      <w:r>
        <w:rPr>
          <w:color w:val="auto"/>
          <w:spacing w:val="-3"/>
          <w:sz w:val="21"/>
        </w:rPr>
        <w:t>向约定的仲裁委员会申请仲裁；</w:t>
      </w:r>
    </w:p>
    <w:p>
      <w:pPr>
        <w:pStyle w:val="8"/>
        <w:spacing w:before="7"/>
        <w:rPr>
          <w:color w:val="auto"/>
          <w:sz w:val="15"/>
        </w:rPr>
      </w:pPr>
    </w:p>
    <w:p>
      <w:pPr>
        <w:pStyle w:val="44"/>
        <w:numPr>
          <w:ilvl w:val="0"/>
          <w:numId w:val="64"/>
        </w:numPr>
        <w:tabs>
          <w:tab w:val="left" w:pos="1163"/>
        </w:tabs>
        <w:ind w:hanging="530"/>
        <w:rPr>
          <w:color w:val="auto"/>
          <w:sz w:val="21"/>
        </w:rPr>
      </w:pPr>
      <w:r>
        <w:rPr>
          <w:color w:val="auto"/>
          <w:spacing w:val="-3"/>
          <w:sz w:val="21"/>
        </w:rPr>
        <w:t>向有管辖权的人民法院提起诉讼。</w:t>
      </w:r>
      <w:r>
        <w:rPr>
          <w:color w:val="auto"/>
          <w:sz w:val="21"/>
        </w:rPr>
        <w:t xml:space="preserve"> </w:t>
      </w:r>
    </w:p>
    <w:p>
      <w:pPr>
        <w:pStyle w:val="41"/>
        <w:numPr>
          <w:ilvl w:val="1"/>
          <w:numId w:val="22"/>
        </w:numPr>
        <w:tabs>
          <w:tab w:val="left" w:pos="754"/>
        </w:tabs>
        <w:spacing w:before="179"/>
        <w:ind w:hanging="542"/>
        <w:rPr>
          <w:rFonts w:ascii="Times New Roman" w:eastAsia="Times New Roman"/>
          <w:color w:val="auto"/>
        </w:rPr>
      </w:pPr>
      <w:bookmarkStart w:id="251" w:name="24.2_友好解决"/>
      <w:bookmarkEnd w:id="251"/>
      <w:r>
        <w:rPr>
          <w:color w:val="auto"/>
        </w:rPr>
        <w:t>友好解决</w:t>
      </w:r>
    </w:p>
    <w:p>
      <w:pPr>
        <w:pStyle w:val="8"/>
        <w:spacing w:before="181" w:line="417" w:lineRule="auto"/>
        <w:ind w:left="212" w:right="428" w:firstLine="420"/>
        <w:rPr>
          <w:color w:val="auto"/>
        </w:rPr>
      </w:pPr>
      <w:r>
        <w:rPr>
          <w:color w:val="auto"/>
          <w:spacing w:val="-7"/>
        </w:rPr>
        <w:t>在提请争议评审、仲裁或者诉讼前，以及在争议评审、仲裁或诉讼过程中，发包人和承包人均可共同</w:t>
      </w:r>
      <w:r>
        <w:rPr>
          <w:color w:val="auto"/>
          <w:spacing w:val="-5"/>
        </w:rPr>
        <w:t>努力友好协商解决争议。</w:t>
      </w:r>
      <w:r>
        <w:rPr>
          <w:color w:val="auto"/>
        </w:rPr>
        <w:t xml:space="preserve"> </w:t>
      </w:r>
    </w:p>
    <w:p>
      <w:pPr>
        <w:pStyle w:val="41"/>
        <w:numPr>
          <w:ilvl w:val="1"/>
          <w:numId w:val="22"/>
        </w:numPr>
        <w:tabs>
          <w:tab w:val="left" w:pos="754"/>
        </w:tabs>
        <w:spacing w:line="287" w:lineRule="exact"/>
        <w:ind w:hanging="542"/>
        <w:rPr>
          <w:rFonts w:ascii="Times New Roman" w:eastAsia="Times New Roman"/>
          <w:color w:val="auto"/>
        </w:rPr>
      </w:pPr>
      <w:bookmarkStart w:id="252" w:name="24.3_争议评审"/>
      <w:bookmarkEnd w:id="252"/>
      <w:r>
        <w:rPr>
          <w:color w:val="auto"/>
        </w:rPr>
        <w:t>争议评审</w:t>
      </w:r>
    </w:p>
    <w:p>
      <w:pPr>
        <w:pStyle w:val="44"/>
        <w:numPr>
          <w:ilvl w:val="2"/>
          <w:numId w:val="22"/>
        </w:numPr>
        <w:tabs>
          <w:tab w:val="left" w:pos="1163"/>
        </w:tabs>
        <w:spacing w:before="181" w:line="417" w:lineRule="auto"/>
        <w:ind w:left="212" w:right="426" w:firstLine="420"/>
        <w:jc w:val="both"/>
        <w:rPr>
          <w:rFonts w:ascii="Times New Roman" w:eastAsia="Times New Roman"/>
          <w:color w:val="auto"/>
          <w:sz w:val="19"/>
        </w:rPr>
      </w:pPr>
      <w:r>
        <w:rPr>
          <w:color w:val="auto"/>
          <w:spacing w:val="-3"/>
          <w:sz w:val="21"/>
        </w:rPr>
        <w:t xml:space="preserve">采用争议评审的，发包人和承包人应在开工日后的 </w:t>
      </w:r>
      <w:r>
        <w:rPr>
          <w:color w:val="auto"/>
          <w:sz w:val="21"/>
        </w:rPr>
        <w:t>28</w:t>
      </w:r>
      <w:r>
        <w:rPr>
          <w:color w:val="auto"/>
          <w:spacing w:val="-3"/>
          <w:sz w:val="21"/>
        </w:rPr>
        <w:t xml:space="preserve"> 天内或在争议发生后，协商成立争议评审组。争议评审组由有合同管理和工程实践经验的专家组成。 </w:t>
      </w:r>
    </w:p>
    <w:p>
      <w:pPr>
        <w:spacing w:line="417" w:lineRule="auto"/>
        <w:jc w:val="both"/>
        <w:rPr>
          <w:rFonts w:ascii="Times New Roman" w:eastAsia="Times New Roman"/>
          <w:color w:val="auto"/>
          <w:sz w:val="19"/>
        </w:rPr>
        <w:sectPr>
          <w:pgSz w:w="11910" w:h="16840"/>
          <w:pgMar w:top="1540" w:right="700" w:bottom="1180" w:left="920" w:header="0" w:footer="995" w:gutter="0"/>
          <w:cols w:space="720" w:num="1"/>
        </w:sectPr>
      </w:pPr>
    </w:p>
    <w:p>
      <w:pPr>
        <w:pStyle w:val="44"/>
        <w:numPr>
          <w:ilvl w:val="2"/>
          <w:numId w:val="22"/>
        </w:numPr>
        <w:tabs>
          <w:tab w:val="left" w:pos="1163"/>
        </w:tabs>
        <w:spacing w:before="65" w:line="417" w:lineRule="auto"/>
        <w:ind w:left="212" w:right="426" w:firstLine="420"/>
        <w:rPr>
          <w:rFonts w:ascii="Times New Roman" w:eastAsia="Times New Roman"/>
          <w:color w:val="auto"/>
          <w:sz w:val="19"/>
        </w:rPr>
      </w:pPr>
      <w:r>
        <w:rPr>
          <w:color w:val="auto"/>
          <w:spacing w:val="-6"/>
          <w:sz w:val="21"/>
        </w:rPr>
        <w:t>合同双方的争议，应首先由申请人向争议评审组提交一份详细的评审申请报告，并附必要的文</w:t>
      </w:r>
      <w:r>
        <w:rPr>
          <w:color w:val="auto"/>
          <w:spacing w:val="-4"/>
          <w:sz w:val="21"/>
        </w:rPr>
        <w:t xml:space="preserve">件、图纸和证明材料，申请人还应将上述报告的副本同时提交给被申请人和监理人。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4"/>
          <w:sz w:val="21"/>
        </w:rPr>
        <w:t xml:space="preserve">被申请人在收到申请人评审申请报告副本后的 </w:t>
      </w:r>
      <w:r>
        <w:rPr>
          <w:color w:val="auto"/>
          <w:sz w:val="21"/>
        </w:rPr>
        <w:t>28</w:t>
      </w:r>
      <w:r>
        <w:rPr>
          <w:color w:val="auto"/>
          <w:spacing w:val="-3"/>
          <w:sz w:val="21"/>
        </w:rPr>
        <w:t xml:space="preserve"> 天内，向争议评审组提交一份答辩报告，并附证明材料。被申请人应将答辩报告的副本同时提交给申请人和监理人。</w:t>
      </w:r>
      <w:r>
        <w:rPr>
          <w:color w:val="auto"/>
          <w:sz w:val="21"/>
        </w:rPr>
        <w:t xml:space="preserve"> </w:t>
      </w:r>
    </w:p>
    <w:p>
      <w:pPr>
        <w:pStyle w:val="44"/>
        <w:numPr>
          <w:ilvl w:val="2"/>
          <w:numId w:val="22"/>
        </w:numPr>
        <w:tabs>
          <w:tab w:val="left" w:pos="1163"/>
        </w:tabs>
        <w:spacing w:line="417" w:lineRule="auto"/>
        <w:ind w:left="212" w:right="426" w:firstLine="420"/>
        <w:rPr>
          <w:rFonts w:ascii="Times New Roman" w:eastAsia="Times New Roman"/>
          <w:color w:val="auto"/>
          <w:sz w:val="19"/>
        </w:rPr>
      </w:pPr>
      <w:r>
        <w:rPr>
          <w:color w:val="auto"/>
          <w:spacing w:val="-3"/>
          <w:sz w:val="21"/>
        </w:rPr>
        <w:t xml:space="preserve">除专用合同条款另有约定外，争议评审组在收到合同双方报告后的 </w:t>
      </w:r>
      <w:r>
        <w:rPr>
          <w:color w:val="auto"/>
          <w:sz w:val="21"/>
        </w:rPr>
        <w:t>14</w:t>
      </w:r>
      <w:r>
        <w:rPr>
          <w:color w:val="auto"/>
          <w:spacing w:val="-3"/>
          <w:sz w:val="21"/>
        </w:rPr>
        <w:t xml:space="preserve"> 天内，邀请双方代表和有关人员举行调查会，向双方调查争议细节；必要时争议评审组可要求双方进一步提供补充材料。</w:t>
      </w:r>
      <w:r>
        <w:rPr>
          <w:color w:val="auto"/>
          <w:sz w:val="21"/>
        </w:rPr>
        <w:t xml:space="preserve">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3"/>
          <w:sz w:val="21"/>
        </w:rPr>
        <w:t xml:space="preserve">除专用合同条款另有约定外，在调查会结束后的 </w:t>
      </w:r>
      <w:r>
        <w:rPr>
          <w:color w:val="auto"/>
          <w:sz w:val="21"/>
        </w:rPr>
        <w:t>14</w:t>
      </w:r>
      <w:r>
        <w:rPr>
          <w:color w:val="auto"/>
          <w:spacing w:val="-3"/>
          <w:sz w:val="21"/>
        </w:rPr>
        <w:t xml:space="preserve"> 天内，争议评审组应在不受任何干扰的情</w:t>
      </w:r>
      <w:r>
        <w:rPr>
          <w:color w:val="auto"/>
          <w:spacing w:val="-7"/>
          <w:sz w:val="21"/>
        </w:rPr>
        <w:t>况下进行独立、公正的评审，作出书面评审意见，并说明理由。在争议评审期间，争议双方暂按总监理工</w:t>
      </w:r>
      <w:r>
        <w:rPr>
          <w:color w:val="auto"/>
          <w:spacing w:val="-5"/>
          <w:sz w:val="21"/>
        </w:rPr>
        <w:t>程师的确定执行。</w:t>
      </w:r>
      <w:r>
        <w:rPr>
          <w:color w:val="auto"/>
          <w:sz w:val="21"/>
        </w:rPr>
        <w:t xml:space="preserve"> </w:t>
      </w:r>
    </w:p>
    <w:p>
      <w:pPr>
        <w:pStyle w:val="44"/>
        <w:numPr>
          <w:ilvl w:val="2"/>
          <w:numId w:val="22"/>
        </w:numPr>
        <w:tabs>
          <w:tab w:val="left" w:pos="1265"/>
        </w:tabs>
        <w:spacing w:line="417" w:lineRule="auto"/>
        <w:ind w:left="212" w:right="426" w:firstLine="420"/>
        <w:jc w:val="both"/>
        <w:rPr>
          <w:rFonts w:ascii="Times New Roman" w:eastAsia="Times New Roman"/>
          <w:color w:val="auto"/>
          <w:sz w:val="21"/>
        </w:rPr>
      </w:pPr>
      <w:r>
        <w:rPr>
          <w:color w:val="auto"/>
          <w:spacing w:val="-5"/>
          <w:sz w:val="21"/>
        </w:rPr>
        <w:t>发包人和承包人接受评审意见的，由监理人根据评审意见拟定执行协议，经争议双方签字后作</w:t>
      </w:r>
      <w:r>
        <w:rPr>
          <w:color w:val="auto"/>
          <w:spacing w:val="-4"/>
          <w:sz w:val="21"/>
        </w:rPr>
        <w:t xml:space="preserve">为合同的补充文件，并遵照执行。 </w:t>
      </w:r>
    </w:p>
    <w:p>
      <w:pPr>
        <w:pStyle w:val="44"/>
        <w:numPr>
          <w:ilvl w:val="2"/>
          <w:numId w:val="22"/>
        </w:numPr>
        <w:tabs>
          <w:tab w:val="left" w:pos="1163"/>
        </w:tabs>
        <w:spacing w:line="417" w:lineRule="auto"/>
        <w:ind w:left="212" w:right="426" w:firstLine="420"/>
        <w:jc w:val="both"/>
        <w:rPr>
          <w:rFonts w:ascii="Times New Roman" w:eastAsia="Times New Roman"/>
          <w:color w:val="auto"/>
          <w:sz w:val="19"/>
        </w:rPr>
      </w:pPr>
      <w:r>
        <w:rPr>
          <w:color w:val="auto"/>
          <w:spacing w:val="-13"/>
          <w:sz w:val="21"/>
        </w:rPr>
        <w:t xml:space="preserve">发包人或承包人不接受评审意见，并要求提交仲裁或提起诉讼的，应在收到评审意见后的 </w:t>
      </w:r>
      <w:r>
        <w:rPr>
          <w:color w:val="auto"/>
          <w:sz w:val="21"/>
        </w:rPr>
        <w:t>14</w:t>
      </w:r>
      <w:r>
        <w:rPr>
          <w:color w:val="auto"/>
          <w:spacing w:val="7"/>
          <w:sz w:val="21"/>
        </w:rPr>
        <w:t xml:space="preserve"> 天</w:t>
      </w:r>
      <w:r>
        <w:rPr>
          <w:color w:val="auto"/>
          <w:spacing w:val="-5"/>
          <w:sz w:val="21"/>
        </w:rPr>
        <w:t xml:space="preserve">内将仲裁或起诉意向书面通知另一方，并抄送监理人，但在仲裁或诉讼结束前应暂按总监理工程师的确定执行。 </w:t>
      </w:r>
    </w:p>
    <w:p>
      <w:pPr>
        <w:spacing w:line="417" w:lineRule="auto"/>
        <w:jc w:val="both"/>
        <w:rPr>
          <w:rFonts w:ascii="Times New Roman" w:eastAsia="Times New Roman"/>
          <w:color w:val="auto"/>
          <w:sz w:val="19"/>
        </w:rPr>
        <w:sectPr>
          <w:footerReference r:id="rId30" w:type="default"/>
          <w:pgSz w:w="11910" w:h="16840"/>
          <w:pgMar w:top="1540" w:right="700" w:bottom="1180" w:left="920" w:header="0" w:footer="995" w:gutter="0"/>
          <w:cols w:space="720" w:num="1"/>
        </w:sect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7"/>
        <w:rPr>
          <w:color w:val="auto"/>
          <w:sz w:val="25"/>
        </w:rPr>
      </w:pPr>
    </w:p>
    <w:p>
      <w:pPr>
        <w:pStyle w:val="37"/>
        <w:spacing w:before="54"/>
        <w:ind w:left="2" w:right="223"/>
        <w:jc w:val="center"/>
        <w:rPr>
          <w:color w:val="auto"/>
        </w:rPr>
      </w:pPr>
      <w:bookmarkStart w:id="253" w:name="第二节_专用合同条款"/>
      <w:bookmarkEnd w:id="253"/>
      <w:r>
        <w:rPr>
          <w:color w:val="auto"/>
        </w:rPr>
        <w:t>第二节 专用合同条款</w:t>
      </w:r>
    </w:p>
    <w:p>
      <w:pPr>
        <w:pStyle w:val="8"/>
        <w:rPr>
          <w:b/>
          <w:color w:val="auto"/>
          <w:sz w:val="20"/>
        </w:rPr>
        <w:sectPr>
          <w:pgSz w:w="11910" w:h="16840"/>
          <w:pgMar w:top="1580" w:right="700" w:bottom="1180" w:left="920" w:header="0" w:footer="995" w:gutter="0"/>
          <w:cols w:space="720" w:num="1"/>
        </w:sectPr>
      </w:pPr>
    </w:p>
    <w:p>
      <w:pPr>
        <w:pStyle w:val="55"/>
        <w:spacing w:before="66"/>
        <w:ind w:left="212" w:firstLine="0"/>
        <w:rPr>
          <w:color w:val="auto"/>
        </w:rPr>
      </w:pPr>
      <w:r>
        <w:rPr>
          <w:color w:val="auto"/>
        </w:rPr>
        <w:t>1 一般约定</w:t>
      </w:r>
      <w:r>
        <w:rPr>
          <w:color w:val="auto"/>
          <w:w w:val="99"/>
        </w:rPr>
        <w:t xml:space="preserve"> </w:t>
      </w:r>
    </w:p>
    <w:p>
      <w:pPr>
        <w:spacing w:before="158"/>
        <w:ind w:left="212"/>
        <w:rPr>
          <w:b/>
          <w:color w:val="auto"/>
          <w:sz w:val="24"/>
        </w:rPr>
      </w:pPr>
      <w:bookmarkStart w:id="254" w:name="1.1_词语定义"/>
      <w:bookmarkEnd w:id="254"/>
      <w:r>
        <w:rPr>
          <w:b/>
          <w:color w:val="auto"/>
          <w:sz w:val="24"/>
        </w:rPr>
        <w:t>1.1 词语定义</w:t>
      </w:r>
      <w:r>
        <w:rPr>
          <w:b/>
          <w:color w:val="auto"/>
          <w:w w:val="99"/>
          <w:sz w:val="24"/>
        </w:rPr>
        <w:t xml:space="preserve"> </w:t>
      </w:r>
    </w:p>
    <w:p>
      <w:pPr>
        <w:pStyle w:val="8"/>
        <w:spacing w:before="4"/>
        <w:rPr>
          <w:b/>
          <w:color w:val="auto"/>
          <w:sz w:val="20"/>
        </w:rPr>
      </w:pPr>
    </w:p>
    <w:p>
      <w:pPr>
        <w:pStyle w:val="8"/>
        <w:spacing w:line="417" w:lineRule="auto"/>
        <w:ind w:left="633" w:right="8391"/>
        <w:rPr>
          <w:color w:val="auto"/>
        </w:rPr>
      </w:pPr>
      <w:r>
        <w:rPr>
          <w:color w:val="auto"/>
        </w:rPr>
        <w:t xml:space="preserve">1.1.1 合 同增加： </w:t>
      </w:r>
    </w:p>
    <w:p>
      <w:pPr>
        <w:pStyle w:val="8"/>
        <w:spacing w:line="269" w:lineRule="exact"/>
        <w:ind w:left="633"/>
        <w:rPr>
          <w:color w:val="auto"/>
        </w:rPr>
      </w:pPr>
      <w:r>
        <w:rPr>
          <w:color w:val="auto"/>
        </w:rPr>
        <w:t xml:space="preserve">1.1.1.10 图纸 </w:t>
      </w:r>
    </w:p>
    <w:p>
      <w:pPr>
        <w:pStyle w:val="8"/>
        <w:spacing w:before="7"/>
        <w:rPr>
          <w:color w:val="auto"/>
          <w:sz w:val="15"/>
        </w:rPr>
      </w:pPr>
    </w:p>
    <w:p>
      <w:pPr>
        <w:pStyle w:val="8"/>
        <w:ind w:left="633"/>
        <w:rPr>
          <w:color w:val="auto"/>
        </w:rPr>
      </w:pPr>
      <w:r>
        <w:rPr>
          <w:color w:val="auto"/>
        </w:rPr>
        <w:t xml:space="preserve">分为初步设计图纸和施工图设计图纸。 </w:t>
      </w:r>
    </w:p>
    <w:p>
      <w:pPr>
        <w:pStyle w:val="8"/>
        <w:spacing w:before="6"/>
        <w:rPr>
          <w:color w:val="auto"/>
          <w:sz w:val="15"/>
        </w:rPr>
      </w:pPr>
    </w:p>
    <w:p>
      <w:pPr>
        <w:pStyle w:val="8"/>
        <w:spacing w:before="1" w:line="417" w:lineRule="auto"/>
        <w:ind w:left="633" w:right="426"/>
        <w:rPr>
          <w:color w:val="auto"/>
        </w:rPr>
      </w:pPr>
      <w:r>
        <w:rPr>
          <w:color w:val="auto"/>
          <w:spacing w:val="-3"/>
        </w:rPr>
        <w:t xml:space="preserve">初步设计图纸：由发包人提供给承包人的，供承包人作为施工图设计阶段设计依据的图纸及文件。 </w:t>
      </w:r>
      <w:r>
        <w:rPr>
          <w:color w:val="auto"/>
          <w:spacing w:val="-6"/>
        </w:rPr>
        <w:t>施工图设计图纸：指由承包人中负责本工程施工图设计的设计单位提供的用于本工程施工的图纸</w:t>
      </w:r>
      <w:r>
        <w:rPr>
          <w:color w:val="auto"/>
        </w:rPr>
        <w:t>（包</w:t>
      </w:r>
    </w:p>
    <w:p>
      <w:pPr>
        <w:pStyle w:val="8"/>
        <w:spacing w:line="417" w:lineRule="auto"/>
        <w:ind w:left="633" w:right="1770" w:hanging="421"/>
        <w:rPr>
          <w:color w:val="auto"/>
        </w:rPr>
      </w:pPr>
      <w:r>
        <w:rPr>
          <w:color w:val="auto"/>
        </w:rPr>
        <w:t xml:space="preserve">括配套的说明及施工图预算），须经项目业主、发包人审核和建设主管部门的审查批复。1.1.2 合同当事人和人员 </w:t>
      </w:r>
    </w:p>
    <w:p>
      <w:pPr>
        <w:pStyle w:val="8"/>
        <w:spacing w:line="269" w:lineRule="exact"/>
        <w:ind w:left="633"/>
        <w:rPr>
          <w:color w:val="auto"/>
        </w:rPr>
      </w:pPr>
      <w:r>
        <w:rPr>
          <w:color w:val="auto"/>
        </w:rPr>
        <w:t>1.2.2.2</w:t>
      </w:r>
      <w:r>
        <w:rPr>
          <w:color w:val="auto"/>
          <w:spacing w:val="-2"/>
        </w:rPr>
        <w:t xml:space="preserve"> 发 包 人 ：</w:t>
      </w:r>
      <w:r>
        <w:rPr>
          <w:color w:val="auto"/>
          <w:spacing w:val="100"/>
          <w:u w:val="single"/>
        </w:rPr>
        <w:t xml:space="preserve"> </w:t>
      </w:r>
      <w:r>
        <w:rPr>
          <w:color w:val="auto"/>
          <w:spacing w:val="-3"/>
        </w:rPr>
        <w:t>。</w:t>
      </w:r>
      <w:r>
        <w:rPr>
          <w:color w:val="auto"/>
        </w:rPr>
        <w:t xml:space="preserve"> </w:t>
      </w:r>
    </w:p>
    <w:p>
      <w:pPr>
        <w:pStyle w:val="8"/>
        <w:spacing w:before="12"/>
        <w:rPr>
          <w:color w:val="auto"/>
          <w:sz w:val="9"/>
        </w:rPr>
      </w:pPr>
    </w:p>
    <w:p>
      <w:pPr>
        <w:pStyle w:val="44"/>
        <w:numPr>
          <w:ilvl w:val="3"/>
          <w:numId w:val="65"/>
        </w:numPr>
        <w:tabs>
          <w:tab w:val="left" w:pos="1372"/>
        </w:tabs>
        <w:spacing w:before="71"/>
        <w:ind w:hanging="739"/>
        <w:rPr>
          <w:color w:val="auto"/>
          <w:sz w:val="21"/>
        </w:rPr>
      </w:pPr>
      <w:r>
        <w:rPr>
          <w:color w:val="auto"/>
          <w:spacing w:val="-2"/>
          <w:sz w:val="21"/>
        </w:rPr>
        <w:t>承包人：</w:t>
      </w:r>
      <w:r>
        <w:rPr>
          <w:color w:val="auto"/>
          <w:spacing w:val="-3"/>
          <w:sz w:val="21"/>
          <w:u w:val="single"/>
        </w:rPr>
        <w:t xml:space="preserve"> 签约后填入承包人的名称</w:t>
      </w:r>
      <w:r>
        <w:rPr>
          <w:color w:val="auto"/>
          <w:sz w:val="21"/>
          <w:u w:val="single"/>
        </w:rPr>
        <w:t xml:space="preserve">） </w:t>
      </w:r>
      <w:r>
        <w:rPr>
          <w:color w:val="auto"/>
          <w:spacing w:val="-2"/>
          <w:sz w:val="21"/>
        </w:rPr>
        <w:t xml:space="preserve"> 。</w:t>
      </w:r>
      <w:r>
        <w:rPr>
          <w:color w:val="auto"/>
          <w:sz w:val="21"/>
        </w:rPr>
        <w:t xml:space="preserve"> </w:t>
      </w:r>
    </w:p>
    <w:p>
      <w:pPr>
        <w:pStyle w:val="8"/>
        <w:rPr>
          <w:color w:val="auto"/>
          <w:sz w:val="10"/>
        </w:rPr>
      </w:pPr>
    </w:p>
    <w:p>
      <w:pPr>
        <w:pStyle w:val="44"/>
        <w:numPr>
          <w:ilvl w:val="3"/>
          <w:numId w:val="65"/>
        </w:numPr>
        <w:tabs>
          <w:tab w:val="left" w:pos="1372"/>
        </w:tabs>
        <w:spacing w:before="71"/>
        <w:ind w:hanging="739"/>
        <w:rPr>
          <w:color w:val="auto"/>
          <w:sz w:val="21"/>
        </w:rPr>
      </w:pPr>
      <w:r>
        <w:rPr>
          <w:color w:val="auto"/>
          <w:spacing w:val="-3"/>
          <w:sz w:val="21"/>
        </w:rPr>
        <w:t>承包人项目经理：</w:t>
      </w:r>
      <w:r>
        <w:rPr>
          <w:color w:val="auto"/>
          <w:spacing w:val="1"/>
          <w:sz w:val="21"/>
          <w:u w:val="single"/>
        </w:rPr>
        <w:t xml:space="preserve"> </w:t>
      </w:r>
      <w:r>
        <w:rPr>
          <w:color w:val="auto"/>
          <w:spacing w:val="-3"/>
          <w:sz w:val="21"/>
          <w:u w:val="single"/>
        </w:rPr>
        <w:t>（签约后填入项目经理的名字</w:t>
      </w:r>
      <w:r>
        <w:rPr>
          <w:color w:val="auto"/>
          <w:sz w:val="21"/>
          <w:u w:val="single"/>
        </w:rPr>
        <w:t xml:space="preserve">） </w:t>
      </w:r>
      <w:r>
        <w:rPr>
          <w:color w:val="auto"/>
          <w:spacing w:val="-3"/>
          <w:sz w:val="21"/>
          <w:u w:val="single"/>
        </w:rPr>
        <w:t xml:space="preserve">  </w:t>
      </w:r>
      <w:r>
        <w:rPr>
          <w:color w:val="auto"/>
          <w:sz w:val="21"/>
        </w:rPr>
        <w:t xml:space="preserve"> </w:t>
      </w:r>
    </w:p>
    <w:p>
      <w:pPr>
        <w:pStyle w:val="8"/>
        <w:spacing w:before="12"/>
        <w:rPr>
          <w:color w:val="auto"/>
          <w:sz w:val="9"/>
        </w:rPr>
      </w:pPr>
    </w:p>
    <w:p>
      <w:pPr>
        <w:pStyle w:val="44"/>
        <w:numPr>
          <w:ilvl w:val="3"/>
          <w:numId w:val="65"/>
        </w:numPr>
        <w:tabs>
          <w:tab w:val="left" w:pos="1372"/>
        </w:tabs>
        <w:spacing w:before="72"/>
        <w:ind w:hanging="739"/>
        <w:rPr>
          <w:color w:val="auto"/>
          <w:sz w:val="21"/>
        </w:rPr>
      </w:pPr>
      <w:r>
        <w:rPr>
          <w:color w:val="auto"/>
          <w:spacing w:val="-3"/>
          <w:sz w:val="21"/>
        </w:rPr>
        <w:t>设计负责人：</w:t>
      </w:r>
      <w:r>
        <w:rPr>
          <w:color w:val="auto"/>
          <w:spacing w:val="-1"/>
          <w:sz w:val="21"/>
          <w:u w:val="single"/>
        </w:rPr>
        <w:t xml:space="preserve"> </w:t>
      </w:r>
      <w:r>
        <w:rPr>
          <w:color w:val="auto"/>
          <w:sz w:val="21"/>
          <w:u w:val="single"/>
        </w:rPr>
        <w:t>（</w:t>
      </w:r>
      <w:r>
        <w:rPr>
          <w:color w:val="auto"/>
          <w:spacing w:val="-3"/>
          <w:sz w:val="21"/>
          <w:u w:val="single"/>
        </w:rPr>
        <w:t>签约后填入设计负责人的名字</w:t>
      </w:r>
      <w:r>
        <w:rPr>
          <w:color w:val="auto"/>
          <w:sz w:val="21"/>
          <w:u w:val="single"/>
        </w:rPr>
        <w:t xml:space="preserve">） </w:t>
      </w:r>
      <w:r>
        <w:rPr>
          <w:color w:val="auto"/>
          <w:spacing w:val="-3"/>
          <w:sz w:val="21"/>
          <w:u w:val="single"/>
        </w:rPr>
        <w:t xml:space="preserve">  </w:t>
      </w:r>
      <w:r>
        <w:rPr>
          <w:color w:val="auto"/>
          <w:sz w:val="21"/>
        </w:rPr>
        <w:t xml:space="preserve"> </w:t>
      </w:r>
    </w:p>
    <w:p>
      <w:pPr>
        <w:pStyle w:val="8"/>
        <w:spacing w:before="12"/>
        <w:rPr>
          <w:color w:val="auto"/>
          <w:sz w:val="9"/>
        </w:rPr>
      </w:pPr>
    </w:p>
    <w:p>
      <w:pPr>
        <w:pStyle w:val="44"/>
        <w:numPr>
          <w:ilvl w:val="3"/>
          <w:numId w:val="65"/>
        </w:numPr>
        <w:tabs>
          <w:tab w:val="left" w:pos="1372"/>
        </w:tabs>
        <w:spacing w:before="72"/>
        <w:ind w:hanging="739"/>
        <w:rPr>
          <w:color w:val="auto"/>
          <w:sz w:val="21"/>
        </w:rPr>
      </w:pPr>
      <w:r>
        <w:rPr>
          <w:color w:val="auto"/>
          <w:spacing w:val="-3"/>
          <w:sz w:val="21"/>
        </w:rPr>
        <w:t>施工负责人：</w:t>
      </w:r>
      <w:r>
        <w:rPr>
          <w:color w:val="auto"/>
          <w:spacing w:val="-1"/>
          <w:sz w:val="21"/>
          <w:u w:val="single"/>
        </w:rPr>
        <w:t xml:space="preserve"> </w:t>
      </w:r>
      <w:r>
        <w:rPr>
          <w:color w:val="auto"/>
          <w:sz w:val="21"/>
          <w:u w:val="single"/>
        </w:rPr>
        <w:t>（</w:t>
      </w:r>
      <w:r>
        <w:rPr>
          <w:color w:val="auto"/>
          <w:spacing w:val="-3"/>
          <w:sz w:val="21"/>
          <w:u w:val="single"/>
        </w:rPr>
        <w:t>签约后填入施工负责人的名字和职称证书号码）</w:t>
      </w:r>
      <w:r>
        <w:rPr>
          <w:color w:val="auto"/>
          <w:sz w:val="21"/>
        </w:rPr>
        <w:t xml:space="preserve"> </w:t>
      </w:r>
    </w:p>
    <w:p>
      <w:pPr>
        <w:pStyle w:val="8"/>
        <w:spacing w:before="12"/>
        <w:rPr>
          <w:color w:val="auto"/>
          <w:sz w:val="9"/>
        </w:rPr>
      </w:pPr>
    </w:p>
    <w:p>
      <w:pPr>
        <w:pStyle w:val="8"/>
        <w:spacing w:before="72"/>
        <w:ind w:left="633"/>
        <w:rPr>
          <w:color w:val="auto"/>
        </w:rPr>
      </w:pPr>
      <w:r>
        <w:rPr>
          <w:color w:val="auto"/>
        </w:rPr>
        <w:t>1.1.2.8</w:t>
      </w:r>
      <w:r>
        <w:rPr>
          <w:color w:val="auto"/>
          <w:spacing w:val="-2"/>
        </w:rPr>
        <w:t xml:space="preserve"> 分 包 人 ：</w:t>
      </w:r>
      <w:r>
        <w:rPr>
          <w:color w:val="auto"/>
          <w:spacing w:val="101"/>
          <w:u w:val="single"/>
        </w:rPr>
        <w:t xml:space="preserve"> </w:t>
      </w:r>
      <w:r>
        <w:rPr>
          <w:color w:val="auto"/>
          <w:spacing w:val="-3"/>
        </w:rPr>
        <w:t>。</w:t>
      </w:r>
      <w:r>
        <w:rPr>
          <w:color w:val="auto"/>
        </w:rPr>
        <w:t xml:space="preserve"> </w:t>
      </w:r>
    </w:p>
    <w:p>
      <w:pPr>
        <w:pStyle w:val="8"/>
        <w:spacing w:before="11"/>
        <w:rPr>
          <w:color w:val="auto"/>
          <w:sz w:val="9"/>
        </w:rPr>
      </w:pPr>
    </w:p>
    <w:p>
      <w:pPr>
        <w:pStyle w:val="8"/>
        <w:spacing w:before="72"/>
        <w:ind w:left="633"/>
        <w:rPr>
          <w:color w:val="auto"/>
        </w:rPr>
      </w:pPr>
      <w:r>
        <w:rPr>
          <w:color w:val="auto"/>
        </w:rPr>
        <w:t>1.1.2.9 监理人：</w:t>
      </w:r>
      <w:r>
        <w:rPr>
          <w:color w:val="auto"/>
          <w:u w:val="single"/>
        </w:rPr>
        <w:t xml:space="preserve"> 发包人另行书面通知</w:t>
      </w:r>
      <w:r>
        <w:rPr>
          <w:color w:val="auto"/>
        </w:rPr>
        <w:t xml:space="preserve"> 。 </w:t>
      </w:r>
    </w:p>
    <w:p>
      <w:pPr>
        <w:pStyle w:val="8"/>
        <w:spacing w:before="12"/>
        <w:rPr>
          <w:color w:val="auto"/>
          <w:sz w:val="9"/>
        </w:rPr>
      </w:pPr>
    </w:p>
    <w:p>
      <w:pPr>
        <w:pStyle w:val="8"/>
        <w:spacing w:before="72"/>
        <w:ind w:left="633"/>
        <w:rPr>
          <w:color w:val="auto"/>
        </w:rPr>
      </w:pPr>
      <w:r>
        <w:rPr>
          <w:color w:val="auto"/>
        </w:rPr>
        <w:t xml:space="preserve">1.1.3 工程和设备 </w:t>
      </w:r>
    </w:p>
    <w:p>
      <w:pPr>
        <w:pStyle w:val="8"/>
        <w:spacing w:before="6"/>
        <w:rPr>
          <w:color w:val="auto"/>
          <w:sz w:val="15"/>
        </w:rPr>
      </w:pPr>
    </w:p>
    <w:p>
      <w:pPr>
        <w:pStyle w:val="8"/>
        <w:spacing w:before="1"/>
        <w:ind w:left="633"/>
        <w:rPr>
          <w:color w:val="auto"/>
        </w:rPr>
      </w:pPr>
      <w:r>
        <w:rPr>
          <w:color w:val="auto"/>
        </w:rPr>
        <w:t>1.1.3.4 区 段 工 程 ：</w:t>
      </w:r>
      <w:r>
        <w:rPr>
          <w:color w:val="auto"/>
          <w:u w:val="single"/>
        </w:rPr>
        <w:t xml:space="preserve"> </w:t>
      </w:r>
      <w:r>
        <w:rPr>
          <w:color w:val="auto"/>
        </w:rPr>
        <w:t xml:space="preserve">。 </w:t>
      </w:r>
    </w:p>
    <w:p>
      <w:pPr>
        <w:pStyle w:val="8"/>
        <w:spacing w:before="11"/>
        <w:rPr>
          <w:color w:val="auto"/>
          <w:sz w:val="9"/>
        </w:rPr>
      </w:pPr>
    </w:p>
    <w:p>
      <w:pPr>
        <w:pStyle w:val="8"/>
        <w:spacing w:before="72"/>
        <w:ind w:left="633"/>
        <w:rPr>
          <w:color w:val="auto"/>
        </w:rPr>
      </w:pPr>
      <w:r>
        <w:rPr>
          <w:color w:val="auto"/>
        </w:rPr>
        <w:t>1.1.3.10</w:t>
      </w:r>
      <w:r>
        <w:rPr>
          <w:color w:val="auto"/>
          <w:spacing w:val="-3"/>
        </w:rPr>
        <w:t xml:space="preserve"> 永 久 占 地 ：</w:t>
      </w:r>
      <w:r>
        <w:rPr>
          <w:color w:val="auto"/>
          <w:spacing w:val="55"/>
          <w:u w:val="single"/>
        </w:rPr>
        <w:t xml:space="preserve"> </w:t>
      </w:r>
      <w:r>
        <w:rPr>
          <w:color w:val="auto"/>
          <w:spacing w:val="-3"/>
        </w:rPr>
        <w:t>。</w:t>
      </w:r>
      <w:r>
        <w:rPr>
          <w:color w:val="auto"/>
        </w:rPr>
        <w:t xml:space="preserve"> </w:t>
      </w:r>
    </w:p>
    <w:p>
      <w:pPr>
        <w:pStyle w:val="8"/>
        <w:spacing w:before="12"/>
        <w:rPr>
          <w:color w:val="auto"/>
          <w:sz w:val="9"/>
        </w:rPr>
      </w:pPr>
    </w:p>
    <w:p>
      <w:pPr>
        <w:pStyle w:val="8"/>
        <w:spacing w:before="72"/>
        <w:ind w:left="633"/>
        <w:rPr>
          <w:color w:val="auto"/>
        </w:rPr>
      </w:pPr>
      <w:r>
        <w:rPr>
          <w:color w:val="auto"/>
        </w:rPr>
        <w:t>1.1.3.11 临 时 占 地 ：</w:t>
      </w:r>
      <w:r>
        <w:rPr>
          <w:color w:val="auto"/>
          <w:u w:val="single"/>
        </w:rPr>
        <w:t xml:space="preserve"> </w:t>
      </w:r>
      <w:r>
        <w:rPr>
          <w:color w:val="auto"/>
        </w:rPr>
        <w:t xml:space="preserve">。 </w:t>
      </w:r>
    </w:p>
    <w:p>
      <w:pPr>
        <w:pStyle w:val="55"/>
        <w:numPr>
          <w:ilvl w:val="1"/>
          <w:numId w:val="66"/>
        </w:numPr>
        <w:tabs>
          <w:tab w:val="left" w:pos="576"/>
        </w:tabs>
        <w:spacing w:before="99"/>
        <w:rPr>
          <w:color w:val="auto"/>
        </w:rPr>
      </w:pPr>
      <w:bookmarkStart w:id="255" w:name="1.6_文件的提供和照管"/>
      <w:bookmarkEnd w:id="255"/>
      <w:r>
        <w:rPr>
          <w:color w:val="auto"/>
        </w:rPr>
        <w:t>文件的提供和照管</w:t>
      </w:r>
      <w:r>
        <w:rPr>
          <w:color w:val="auto"/>
          <w:w w:val="99"/>
        </w:rPr>
        <w:t xml:space="preserve"> </w:t>
      </w:r>
    </w:p>
    <w:p>
      <w:pPr>
        <w:pStyle w:val="8"/>
        <w:spacing w:before="1"/>
        <w:rPr>
          <w:b/>
          <w:color w:val="auto"/>
          <w:sz w:val="20"/>
        </w:rPr>
      </w:pPr>
    </w:p>
    <w:p>
      <w:pPr>
        <w:pStyle w:val="44"/>
        <w:numPr>
          <w:ilvl w:val="2"/>
          <w:numId w:val="66"/>
        </w:numPr>
        <w:tabs>
          <w:tab w:val="left" w:pos="1163"/>
        </w:tabs>
        <w:spacing w:before="1"/>
        <w:ind w:hanging="530"/>
        <w:rPr>
          <w:color w:val="auto"/>
          <w:sz w:val="21"/>
        </w:rPr>
      </w:pPr>
      <w:r>
        <w:rPr>
          <w:color w:val="auto"/>
          <w:spacing w:val="-3"/>
          <w:sz w:val="21"/>
        </w:rPr>
        <w:t>承包人文件的提供</w:t>
      </w:r>
      <w:r>
        <w:rPr>
          <w:color w:val="auto"/>
          <w:sz w:val="21"/>
        </w:rPr>
        <w:t xml:space="preserve"> </w:t>
      </w:r>
    </w:p>
    <w:p>
      <w:pPr>
        <w:pStyle w:val="8"/>
        <w:spacing w:before="7"/>
        <w:rPr>
          <w:color w:val="auto"/>
          <w:sz w:val="15"/>
        </w:rPr>
      </w:pPr>
    </w:p>
    <w:p>
      <w:pPr>
        <w:pStyle w:val="8"/>
        <w:ind w:left="633"/>
        <w:rPr>
          <w:color w:val="auto"/>
        </w:rPr>
      </w:pPr>
      <w:r>
        <w:rPr>
          <w:color w:val="auto"/>
        </w:rPr>
        <w:t>承包人应在项目工程实施的 21 天前向监理人提供承包人文件 4 份。合同约定承包人文件应批准的，</w:t>
      </w:r>
    </w:p>
    <w:p>
      <w:pPr>
        <w:pStyle w:val="8"/>
        <w:spacing w:before="7"/>
        <w:rPr>
          <w:color w:val="auto"/>
          <w:sz w:val="15"/>
        </w:rPr>
      </w:pPr>
    </w:p>
    <w:p>
      <w:pPr>
        <w:pStyle w:val="8"/>
        <w:spacing w:line="417" w:lineRule="auto"/>
        <w:ind w:left="633" w:right="4819" w:hanging="421"/>
        <w:rPr>
          <w:color w:val="auto"/>
        </w:rPr>
      </w:pPr>
      <w:r>
        <w:rPr>
          <w:color w:val="auto"/>
        </w:rPr>
        <w:t xml:space="preserve">监理人应当于收到该提交文件后的 14 天内批复承包人。1.6.2 发包人提供的文件 </w:t>
      </w:r>
    </w:p>
    <w:p>
      <w:pPr>
        <w:pStyle w:val="8"/>
        <w:spacing w:line="417" w:lineRule="auto"/>
        <w:ind w:left="212" w:right="426" w:firstLine="420"/>
        <w:rPr>
          <w:color w:val="auto"/>
        </w:rPr>
      </w:pPr>
      <w:r>
        <w:rPr>
          <w:color w:val="auto"/>
          <w:spacing w:val="-6"/>
        </w:rPr>
        <w:t xml:space="preserve">发包人应在发出开工通知后 </w:t>
      </w:r>
      <w:r>
        <w:rPr>
          <w:color w:val="auto"/>
        </w:rPr>
        <w:t>7</w:t>
      </w:r>
      <w:r>
        <w:rPr>
          <w:color w:val="auto"/>
          <w:spacing w:val="-9"/>
        </w:rPr>
        <w:t xml:space="preserve"> 天内，与承包人共同商签发包人提供文件计划</w:t>
      </w:r>
      <w:r>
        <w:rPr>
          <w:color w:val="auto"/>
        </w:rPr>
        <w:t>（</w:t>
      </w:r>
      <w:r>
        <w:rPr>
          <w:color w:val="auto"/>
          <w:spacing w:val="-3"/>
        </w:rPr>
        <w:t xml:space="preserve">包括文件内容和供应时间），经合同双方签订的提供文件计划作为合同的补充文件。 </w:t>
      </w:r>
    </w:p>
    <w:p>
      <w:pPr>
        <w:pStyle w:val="8"/>
        <w:spacing w:line="269" w:lineRule="exact"/>
        <w:ind w:left="633"/>
        <w:rPr>
          <w:color w:val="auto"/>
        </w:rPr>
      </w:pPr>
      <w:r>
        <w:rPr>
          <w:color w:val="auto"/>
        </w:rPr>
        <w:t>发包人应向承包人提供 4 份各类文件。承包人可根据施工需要，要求增加提供文件份数，并为增供的</w:t>
      </w:r>
    </w:p>
    <w:p>
      <w:pPr>
        <w:spacing w:line="269" w:lineRule="exact"/>
        <w:rPr>
          <w:color w:val="auto"/>
        </w:rPr>
        <w:sectPr>
          <w:pgSz w:w="11910" w:h="16840"/>
          <w:pgMar w:top="1580" w:right="700" w:bottom="1180" w:left="920" w:header="0" w:footer="995" w:gutter="0"/>
          <w:pgNumType w:fmt="decimal"/>
          <w:cols w:space="720" w:num="1"/>
        </w:sectPr>
      </w:pPr>
    </w:p>
    <w:p>
      <w:pPr>
        <w:pStyle w:val="8"/>
        <w:spacing w:before="45"/>
        <w:ind w:left="212"/>
        <w:rPr>
          <w:color w:val="auto"/>
        </w:rPr>
      </w:pPr>
      <w:r>
        <w:rPr>
          <w:color w:val="auto"/>
        </w:rPr>
        <w:t xml:space="preserve">文件支付费用。 </w:t>
      </w:r>
    </w:p>
    <w:p>
      <w:pPr>
        <w:pStyle w:val="55"/>
        <w:numPr>
          <w:ilvl w:val="1"/>
          <w:numId w:val="66"/>
        </w:numPr>
        <w:tabs>
          <w:tab w:val="left" w:pos="576"/>
        </w:tabs>
        <w:spacing w:before="100"/>
        <w:rPr>
          <w:color w:val="auto"/>
        </w:rPr>
      </w:pPr>
      <w:bookmarkStart w:id="256" w:name="1.7_联络"/>
      <w:bookmarkEnd w:id="256"/>
      <w:r>
        <w:rPr>
          <w:color w:val="auto"/>
        </w:rPr>
        <w:t>联络</w:t>
      </w:r>
      <w:r>
        <w:rPr>
          <w:color w:val="auto"/>
          <w:w w:val="99"/>
        </w:rPr>
        <w:t xml:space="preserve"> </w:t>
      </w:r>
    </w:p>
    <w:p>
      <w:pPr>
        <w:pStyle w:val="8"/>
        <w:spacing w:before="1"/>
        <w:rPr>
          <w:b/>
          <w:color w:val="auto"/>
          <w:sz w:val="20"/>
        </w:rPr>
      </w:pPr>
    </w:p>
    <w:p>
      <w:pPr>
        <w:pStyle w:val="8"/>
        <w:ind w:left="633"/>
        <w:rPr>
          <w:color w:val="auto"/>
        </w:rPr>
      </w:pPr>
      <w:r>
        <w:rPr>
          <w:color w:val="auto"/>
        </w:rPr>
        <w:t xml:space="preserve">1.7.2 来往函件均应按技术标准和要求（合同技术条款）约定的期限送达招标人约定地点。 </w:t>
      </w:r>
    </w:p>
    <w:p>
      <w:pPr>
        <w:pStyle w:val="55"/>
        <w:spacing w:before="99"/>
        <w:ind w:left="212" w:firstLine="0"/>
        <w:rPr>
          <w:color w:val="auto"/>
        </w:rPr>
      </w:pPr>
      <w:bookmarkStart w:id="257" w:name="1.13_发包人要求中的错误"/>
      <w:bookmarkEnd w:id="257"/>
      <w:r>
        <w:rPr>
          <w:color w:val="auto"/>
        </w:rPr>
        <w:t>1.13 发包人要求中的错误</w:t>
      </w:r>
      <w:r>
        <w:rPr>
          <w:color w:val="auto"/>
          <w:w w:val="99"/>
        </w:rPr>
        <w:t xml:space="preserve"> </w:t>
      </w:r>
    </w:p>
    <w:p>
      <w:pPr>
        <w:pStyle w:val="8"/>
        <w:spacing w:before="4"/>
        <w:rPr>
          <w:b/>
          <w:color w:val="auto"/>
          <w:sz w:val="20"/>
        </w:rPr>
      </w:pPr>
    </w:p>
    <w:p>
      <w:pPr>
        <w:pStyle w:val="8"/>
        <w:ind w:left="633"/>
        <w:rPr>
          <w:color w:val="auto"/>
        </w:rPr>
      </w:pPr>
      <w:r>
        <w:rPr>
          <w:color w:val="auto"/>
        </w:rPr>
        <w:t xml:space="preserve">采用通用合同条款该项中（B）款条文规定。 </w:t>
      </w:r>
    </w:p>
    <w:p>
      <w:pPr>
        <w:pStyle w:val="8"/>
        <w:spacing w:before="7"/>
        <w:rPr>
          <w:color w:val="auto"/>
          <w:sz w:val="15"/>
        </w:rPr>
      </w:pPr>
    </w:p>
    <w:p>
      <w:pPr>
        <w:pStyle w:val="8"/>
        <w:ind w:left="212"/>
        <w:rPr>
          <w:color w:val="auto"/>
        </w:rPr>
      </w:pPr>
      <w:r>
        <w:rPr>
          <w:color w:val="auto"/>
        </w:rPr>
        <w:t xml:space="preserve"> </w:t>
      </w:r>
    </w:p>
    <w:p>
      <w:pPr>
        <w:pStyle w:val="55"/>
        <w:spacing w:before="99"/>
        <w:ind w:left="212" w:firstLine="0"/>
        <w:rPr>
          <w:color w:val="auto"/>
        </w:rPr>
      </w:pPr>
      <w:bookmarkStart w:id="258" w:name="2__发包人义务"/>
      <w:bookmarkEnd w:id="258"/>
      <w:r>
        <w:rPr>
          <w:color w:val="auto"/>
        </w:rPr>
        <w:t>2 发包人义务</w:t>
      </w:r>
      <w:r>
        <w:rPr>
          <w:color w:val="auto"/>
          <w:w w:val="99"/>
        </w:rPr>
        <w:t xml:space="preserve"> </w:t>
      </w:r>
    </w:p>
    <w:p>
      <w:pPr>
        <w:pStyle w:val="44"/>
        <w:numPr>
          <w:ilvl w:val="1"/>
          <w:numId w:val="67"/>
        </w:numPr>
        <w:tabs>
          <w:tab w:val="left" w:pos="576"/>
        </w:tabs>
        <w:spacing w:before="158"/>
        <w:rPr>
          <w:b/>
          <w:color w:val="auto"/>
          <w:sz w:val="24"/>
        </w:rPr>
      </w:pPr>
      <w:bookmarkStart w:id="259" w:name="2.3_提供施工场地"/>
      <w:bookmarkEnd w:id="259"/>
      <w:r>
        <w:rPr>
          <w:b/>
          <w:color w:val="auto"/>
          <w:sz w:val="24"/>
        </w:rPr>
        <w:t>提供施工场地</w:t>
      </w:r>
      <w:r>
        <w:rPr>
          <w:b/>
          <w:color w:val="auto"/>
          <w:w w:val="99"/>
          <w:sz w:val="24"/>
        </w:rPr>
        <w:t xml:space="preserve"> </w:t>
      </w:r>
    </w:p>
    <w:p>
      <w:pPr>
        <w:pStyle w:val="8"/>
        <w:spacing w:before="5"/>
        <w:rPr>
          <w:b/>
          <w:color w:val="auto"/>
          <w:sz w:val="20"/>
        </w:rPr>
      </w:pPr>
    </w:p>
    <w:p>
      <w:pPr>
        <w:pStyle w:val="44"/>
        <w:numPr>
          <w:ilvl w:val="2"/>
          <w:numId w:val="67"/>
        </w:numPr>
        <w:tabs>
          <w:tab w:val="left" w:pos="1243"/>
        </w:tabs>
        <w:spacing w:line="417" w:lineRule="auto"/>
        <w:ind w:right="426" w:firstLine="420"/>
        <w:rPr>
          <w:color w:val="auto"/>
          <w:sz w:val="21"/>
        </w:rPr>
      </w:pPr>
      <w:r>
        <w:rPr>
          <w:color w:val="auto"/>
          <w:spacing w:val="-3"/>
          <w:sz w:val="21"/>
        </w:rPr>
        <w:t xml:space="preserve">永久占地的范围和面积：工程用地在发出开工令之前以发包人提供的用地红线图为准，提供的用地期限在签订合同时确定。   </w:t>
      </w:r>
      <w:r>
        <w:rPr>
          <w:color w:val="auto"/>
          <w:sz w:val="21"/>
        </w:rPr>
        <w:t xml:space="preserve"> </w:t>
      </w:r>
    </w:p>
    <w:p>
      <w:pPr>
        <w:pStyle w:val="44"/>
        <w:numPr>
          <w:ilvl w:val="2"/>
          <w:numId w:val="67"/>
        </w:numPr>
        <w:tabs>
          <w:tab w:val="left" w:pos="1243"/>
        </w:tabs>
        <w:spacing w:line="417" w:lineRule="auto"/>
        <w:ind w:right="426" w:firstLine="420"/>
        <w:rPr>
          <w:color w:val="auto"/>
          <w:sz w:val="21"/>
        </w:rPr>
      </w:pPr>
      <w:r>
        <w:rPr>
          <w:color w:val="auto"/>
          <w:spacing w:val="-3"/>
          <w:sz w:val="21"/>
        </w:rPr>
        <w:t>临时占地的范围和面积：由承包人自行确定并负责办理相关用地等手续，其所有费用已包含在投标报价中，发包人不另行支付。但发包人予以配合协助承包人办理手续。</w:t>
      </w:r>
      <w:r>
        <w:rPr>
          <w:color w:val="auto"/>
          <w:sz w:val="21"/>
        </w:rPr>
        <w:t xml:space="preserve"> </w:t>
      </w:r>
    </w:p>
    <w:p>
      <w:pPr>
        <w:pStyle w:val="44"/>
        <w:numPr>
          <w:ilvl w:val="2"/>
          <w:numId w:val="67"/>
        </w:numPr>
        <w:tabs>
          <w:tab w:val="left" w:pos="1243"/>
        </w:tabs>
        <w:spacing w:line="417" w:lineRule="auto"/>
        <w:ind w:right="426" w:firstLine="420"/>
        <w:rPr>
          <w:color w:val="auto"/>
          <w:sz w:val="21"/>
        </w:rPr>
      </w:pPr>
      <w:r>
        <w:rPr>
          <w:color w:val="auto"/>
          <w:spacing w:val="-3"/>
          <w:sz w:val="21"/>
        </w:rPr>
        <w:t xml:space="preserve">施工所需的水、电接至施工场地的要求、接入地点和提供时间：承包人自行解决，发包人予以配合工作，相关费用包含在合同单价或总价内，发包人不另行支付。 </w:t>
      </w:r>
    </w:p>
    <w:p>
      <w:pPr>
        <w:pStyle w:val="44"/>
        <w:numPr>
          <w:ilvl w:val="2"/>
          <w:numId w:val="67"/>
        </w:numPr>
        <w:tabs>
          <w:tab w:val="left" w:pos="1212"/>
        </w:tabs>
        <w:spacing w:line="269" w:lineRule="exact"/>
        <w:ind w:left="1211" w:hanging="579"/>
        <w:rPr>
          <w:color w:val="auto"/>
          <w:sz w:val="21"/>
        </w:rPr>
      </w:pPr>
      <w:r>
        <w:rPr>
          <w:color w:val="auto"/>
          <w:spacing w:val="-3"/>
          <w:sz w:val="21"/>
        </w:rPr>
        <w:t>施工场地外部道路通行权提供时间和要求：</w:t>
      </w:r>
      <w:r>
        <w:rPr>
          <w:color w:val="auto"/>
          <w:sz w:val="21"/>
        </w:rPr>
        <w:t xml:space="preserve"> </w:t>
      </w:r>
    </w:p>
    <w:p>
      <w:pPr>
        <w:pStyle w:val="8"/>
        <w:spacing w:before="6"/>
        <w:rPr>
          <w:color w:val="auto"/>
          <w:sz w:val="15"/>
        </w:rPr>
      </w:pPr>
    </w:p>
    <w:p>
      <w:pPr>
        <w:pStyle w:val="8"/>
        <w:ind w:left="633"/>
        <w:rPr>
          <w:color w:val="auto"/>
        </w:rPr>
      </w:pPr>
      <w:r>
        <w:rPr>
          <w:color w:val="auto"/>
        </w:rPr>
        <w:t xml:space="preserve">临时道路由承包人自行解决，但应满足交通管理部门或地方政府的要求。 </w:t>
      </w:r>
    </w:p>
    <w:p>
      <w:pPr>
        <w:pStyle w:val="8"/>
        <w:spacing w:before="7"/>
        <w:rPr>
          <w:color w:val="auto"/>
          <w:sz w:val="15"/>
        </w:rPr>
      </w:pPr>
    </w:p>
    <w:p>
      <w:pPr>
        <w:pStyle w:val="44"/>
        <w:numPr>
          <w:ilvl w:val="2"/>
          <w:numId w:val="67"/>
        </w:numPr>
        <w:tabs>
          <w:tab w:val="left" w:pos="1212"/>
        </w:tabs>
        <w:ind w:left="1211" w:hanging="579"/>
        <w:rPr>
          <w:color w:val="auto"/>
          <w:sz w:val="21"/>
        </w:rPr>
      </w:pPr>
      <w:r>
        <w:rPr>
          <w:color w:val="auto"/>
          <w:spacing w:val="-3"/>
          <w:sz w:val="21"/>
        </w:rPr>
        <w:t xml:space="preserve">施工场地内工程地质、地下管线、地下设施等有关资料的提供时间和要求： </w:t>
      </w:r>
    </w:p>
    <w:p>
      <w:pPr>
        <w:pStyle w:val="8"/>
        <w:spacing w:before="7"/>
        <w:rPr>
          <w:color w:val="auto"/>
          <w:sz w:val="15"/>
        </w:rPr>
      </w:pPr>
    </w:p>
    <w:p>
      <w:pPr>
        <w:pStyle w:val="8"/>
        <w:spacing w:line="417" w:lineRule="auto"/>
        <w:ind w:left="212" w:right="321" w:firstLine="420"/>
        <w:rPr>
          <w:color w:val="auto"/>
        </w:rPr>
      </w:pPr>
      <w:r>
        <w:rPr>
          <w:color w:val="auto"/>
          <w:spacing w:val="-5"/>
        </w:rPr>
        <w:t>工程地质和已探明的地下管线情况由发包人组织现场踏勘时介绍，但承包人应注意：发包人提供的信</w:t>
      </w:r>
      <w:r>
        <w:rPr>
          <w:color w:val="auto"/>
          <w:spacing w:val="-14"/>
        </w:rPr>
        <w:t>息资料仅供参考，承包人应对这些信息资料进行确认，对有疑义的部分应自行组织补充管线和障碍物调查、</w:t>
      </w:r>
      <w:r>
        <w:rPr>
          <w:color w:val="auto"/>
          <w:spacing w:val="-7"/>
        </w:rPr>
        <w:t>补充地质勘察。此补充勘察费用由承包人自行考虑在投标报价的施工措施费中。</w:t>
      </w:r>
      <w:r>
        <w:rPr>
          <w:color w:val="auto"/>
        </w:rPr>
        <w:t xml:space="preserve"> </w:t>
      </w:r>
    </w:p>
    <w:p>
      <w:pPr>
        <w:pStyle w:val="8"/>
        <w:spacing w:line="269" w:lineRule="exact"/>
        <w:ind w:left="633"/>
        <w:rPr>
          <w:color w:val="auto"/>
        </w:rPr>
      </w:pPr>
      <w:r>
        <w:rPr>
          <w:color w:val="auto"/>
        </w:rPr>
        <w:t xml:space="preserve"> </w:t>
      </w:r>
    </w:p>
    <w:p>
      <w:pPr>
        <w:pStyle w:val="55"/>
        <w:numPr>
          <w:ilvl w:val="1"/>
          <w:numId w:val="68"/>
        </w:numPr>
        <w:tabs>
          <w:tab w:val="left" w:pos="576"/>
        </w:tabs>
        <w:spacing w:before="99"/>
        <w:rPr>
          <w:color w:val="auto"/>
        </w:rPr>
      </w:pPr>
      <w:bookmarkStart w:id="260" w:name="2.7_其它义务"/>
      <w:bookmarkEnd w:id="260"/>
      <w:r>
        <w:rPr>
          <w:color w:val="auto"/>
          <w:w w:val="95"/>
        </w:rPr>
        <w:t>其它义务</w:t>
      </w:r>
      <w:r>
        <w:rPr>
          <w:color w:val="auto"/>
          <w:w w:val="99"/>
        </w:rPr>
        <w:t xml:space="preserve"> </w:t>
      </w:r>
    </w:p>
    <w:p>
      <w:pPr>
        <w:pStyle w:val="8"/>
        <w:spacing w:before="1"/>
        <w:rPr>
          <w:b/>
          <w:color w:val="auto"/>
          <w:sz w:val="20"/>
        </w:rPr>
      </w:pPr>
    </w:p>
    <w:p>
      <w:pPr>
        <w:pStyle w:val="44"/>
        <w:numPr>
          <w:ilvl w:val="2"/>
          <w:numId w:val="68"/>
        </w:numPr>
        <w:tabs>
          <w:tab w:val="left" w:pos="1212"/>
        </w:tabs>
        <w:spacing w:before="1"/>
        <w:rPr>
          <w:color w:val="auto"/>
          <w:sz w:val="21"/>
        </w:rPr>
      </w:pPr>
      <w:r>
        <w:rPr>
          <w:color w:val="auto"/>
          <w:spacing w:val="-10"/>
          <w:sz w:val="21"/>
        </w:rPr>
        <w:t>就项目的建设意图与承包人做好沟通与交底，及时对承包人在过程中提交的设计成果进行确定。</w:t>
      </w:r>
      <w:r>
        <w:rPr>
          <w:color w:val="auto"/>
          <w:sz w:val="21"/>
        </w:rPr>
        <w:t xml:space="preserve"> </w:t>
      </w:r>
    </w:p>
    <w:p>
      <w:pPr>
        <w:pStyle w:val="8"/>
        <w:spacing w:before="7"/>
        <w:rPr>
          <w:color w:val="auto"/>
          <w:sz w:val="15"/>
        </w:rPr>
      </w:pPr>
    </w:p>
    <w:p>
      <w:pPr>
        <w:pStyle w:val="44"/>
        <w:numPr>
          <w:ilvl w:val="2"/>
          <w:numId w:val="68"/>
        </w:numPr>
        <w:tabs>
          <w:tab w:val="left" w:pos="1243"/>
        </w:tabs>
        <w:spacing w:line="417" w:lineRule="auto"/>
        <w:ind w:left="212" w:right="426" w:firstLine="420"/>
        <w:rPr>
          <w:color w:val="auto"/>
          <w:sz w:val="21"/>
        </w:rPr>
      </w:pPr>
      <w:r>
        <w:rPr>
          <w:color w:val="auto"/>
          <w:spacing w:val="-3"/>
          <w:sz w:val="21"/>
        </w:rPr>
        <w:t>在工程施工监理实施相应监理任务前，将监理的内容、监理负责人的姓名及所授予权限，书面通知承包人。</w:t>
      </w:r>
      <w:r>
        <w:rPr>
          <w:color w:val="auto"/>
          <w:sz w:val="21"/>
        </w:rPr>
        <w:t xml:space="preserve"> </w:t>
      </w:r>
    </w:p>
    <w:p>
      <w:pPr>
        <w:pStyle w:val="44"/>
        <w:numPr>
          <w:ilvl w:val="2"/>
          <w:numId w:val="68"/>
        </w:numPr>
        <w:tabs>
          <w:tab w:val="left" w:pos="1212"/>
        </w:tabs>
        <w:spacing w:line="269" w:lineRule="exact"/>
        <w:rPr>
          <w:color w:val="auto"/>
          <w:sz w:val="21"/>
        </w:rPr>
      </w:pPr>
      <w:r>
        <w:rPr>
          <w:color w:val="auto"/>
          <w:spacing w:val="-3"/>
          <w:sz w:val="21"/>
        </w:rPr>
        <w:t xml:space="preserve">参加承包人召开的与本工程相关的施工会议。 </w:t>
      </w:r>
    </w:p>
    <w:p>
      <w:pPr>
        <w:pStyle w:val="8"/>
        <w:spacing w:before="7"/>
        <w:rPr>
          <w:color w:val="auto"/>
          <w:sz w:val="15"/>
        </w:rPr>
      </w:pPr>
    </w:p>
    <w:p>
      <w:pPr>
        <w:pStyle w:val="44"/>
        <w:numPr>
          <w:ilvl w:val="2"/>
          <w:numId w:val="68"/>
        </w:numPr>
        <w:tabs>
          <w:tab w:val="left" w:pos="1212"/>
        </w:tabs>
        <w:rPr>
          <w:color w:val="auto"/>
          <w:sz w:val="21"/>
        </w:rPr>
      </w:pPr>
      <w:r>
        <w:rPr>
          <w:color w:val="auto"/>
          <w:spacing w:val="-3"/>
          <w:sz w:val="21"/>
        </w:rPr>
        <w:t>负责对本工程质量、进度、施工现场文明、安全施工的监管。</w:t>
      </w:r>
      <w:r>
        <w:rPr>
          <w:color w:val="auto"/>
          <w:sz w:val="21"/>
        </w:rPr>
        <w:t xml:space="preserve"> </w:t>
      </w:r>
    </w:p>
    <w:p>
      <w:pPr>
        <w:pStyle w:val="8"/>
        <w:spacing w:before="6"/>
        <w:rPr>
          <w:color w:val="auto"/>
          <w:sz w:val="15"/>
        </w:rPr>
      </w:pPr>
    </w:p>
    <w:p>
      <w:pPr>
        <w:pStyle w:val="44"/>
        <w:numPr>
          <w:ilvl w:val="2"/>
          <w:numId w:val="68"/>
        </w:numPr>
        <w:tabs>
          <w:tab w:val="left" w:pos="1212"/>
        </w:tabs>
        <w:spacing w:before="1"/>
        <w:rPr>
          <w:color w:val="auto"/>
          <w:sz w:val="21"/>
        </w:rPr>
      </w:pPr>
      <w:r>
        <w:rPr>
          <w:color w:val="auto"/>
          <w:spacing w:val="-3"/>
          <w:sz w:val="21"/>
        </w:rPr>
        <w:t>负责审核全套竣工资料。</w:t>
      </w:r>
      <w:r>
        <w:rPr>
          <w:color w:val="auto"/>
          <w:sz w:val="21"/>
        </w:rPr>
        <w:t xml:space="preserve"> </w:t>
      </w:r>
    </w:p>
    <w:p>
      <w:pPr>
        <w:pStyle w:val="8"/>
        <w:spacing w:before="6"/>
        <w:rPr>
          <w:color w:val="auto"/>
          <w:sz w:val="15"/>
        </w:rPr>
      </w:pPr>
    </w:p>
    <w:p>
      <w:pPr>
        <w:pStyle w:val="44"/>
        <w:numPr>
          <w:ilvl w:val="2"/>
          <w:numId w:val="68"/>
        </w:numPr>
        <w:tabs>
          <w:tab w:val="left" w:pos="1212"/>
        </w:tabs>
        <w:rPr>
          <w:color w:val="auto"/>
          <w:sz w:val="21"/>
        </w:rPr>
      </w:pPr>
      <w:r>
        <w:rPr>
          <w:color w:val="auto"/>
          <w:spacing w:val="-3"/>
          <w:sz w:val="21"/>
        </w:rPr>
        <w:t>负责办理相关业务审核签证手续。</w:t>
      </w:r>
      <w:r>
        <w:rPr>
          <w:color w:val="auto"/>
          <w:sz w:val="21"/>
        </w:rPr>
        <w:t xml:space="preserve"> </w:t>
      </w:r>
    </w:p>
    <w:p>
      <w:pPr>
        <w:rPr>
          <w:color w:val="auto"/>
          <w:sz w:val="21"/>
        </w:rPr>
        <w:sectPr>
          <w:pgSz w:w="11910" w:h="16840"/>
          <w:pgMar w:top="1560" w:right="700" w:bottom="1180" w:left="920" w:header="0" w:footer="995" w:gutter="0"/>
          <w:pgNumType w:fmt="decimal"/>
          <w:cols w:space="720" w:num="1"/>
        </w:sectPr>
      </w:pPr>
    </w:p>
    <w:p>
      <w:pPr>
        <w:pStyle w:val="55"/>
        <w:spacing w:before="45"/>
        <w:ind w:left="212" w:firstLine="0"/>
        <w:rPr>
          <w:color w:val="auto"/>
        </w:rPr>
      </w:pPr>
      <w:bookmarkStart w:id="261" w:name="3__监理人"/>
      <w:bookmarkEnd w:id="261"/>
      <w:r>
        <w:rPr>
          <w:color w:val="auto"/>
        </w:rPr>
        <w:t>3 监理人</w:t>
      </w:r>
      <w:r>
        <w:rPr>
          <w:color w:val="auto"/>
          <w:w w:val="99"/>
        </w:rPr>
        <w:t xml:space="preserve"> </w:t>
      </w:r>
    </w:p>
    <w:p>
      <w:pPr>
        <w:pStyle w:val="44"/>
        <w:numPr>
          <w:ilvl w:val="1"/>
          <w:numId w:val="69"/>
        </w:numPr>
        <w:tabs>
          <w:tab w:val="left" w:pos="576"/>
        </w:tabs>
        <w:spacing w:before="159"/>
        <w:rPr>
          <w:b/>
          <w:color w:val="auto"/>
          <w:sz w:val="24"/>
        </w:rPr>
      </w:pPr>
      <w:bookmarkStart w:id="262" w:name="3.1_监理人的职责和权力"/>
      <w:bookmarkEnd w:id="262"/>
      <w:r>
        <w:rPr>
          <w:b/>
          <w:color w:val="auto"/>
          <w:sz w:val="24"/>
        </w:rPr>
        <w:t>监理人的职责和权力</w:t>
      </w:r>
      <w:r>
        <w:rPr>
          <w:b/>
          <w:color w:val="auto"/>
          <w:w w:val="99"/>
          <w:sz w:val="24"/>
        </w:rPr>
        <w:t xml:space="preserve"> </w:t>
      </w:r>
    </w:p>
    <w:p>
      <w:pPr>
        <w:pStyle w:val="8"/>
        <w:spacing w:before="3"/>
        <w:rPr>
          <w:b/>
          <w:color w:val="auto"/>
          <w:sz w:val="20"/>
        </w:rPr>
      </w:pPr>
    </w:p>
    <w:p>
      <w:pPr>
        <w:pStyle w:val="44"/>
        <w:numPr>
          <w:ilvl w:val="2"/>
          <w:numId w:val="69"/>
        </w:numPr>
        <w:tabs>
          <w:tab w:val="left" w:pos="1163"/>
        </w:tabs>
        <w:spacing w:before="1"/>
        <w:ind w:hanging="530"/>
        <w:rPr>
          <w:color w:val="auto"/>
          <w:sz w:val="21"/>
        </w:rPr>
      </w:pPr>
      <w:r>
        <w:rPr>
          <w:color w:val="auto"/>
          <w:spacing w:val="-3"/>
          <w:sz w:val="21"/>
        </w:rPr>
        <w:t>监理人须根据发包人事先批准的权力范围行使权力，发包人批准的权力范围：</w:t>
      </w:r>
      <w:r>
        <w:rPr>
          <w:color w:val="auto"/>
          <w:sz w:val="21"/>
        </w:rPr>
        <w:t xml:space="preserve"> </w:t>
      </w:r>
    </w:p>
    <w:p>
      <w:pPr>
        <w:pStyle w:val="8"/>
        <w:spacing w:before="6"/>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4.3</w:t>
      </w:r>
      <w:r>
        <w:rPr>
          <w:color w:val="auto"/>
          <w:spacing w:val="-9"/>
          <w:sz w:val="21"/>
        </w:rPr>
        <w:t xml:space="preserve"> 款约定，批准工程的分包；</w:t>
      </w:r>
      <w:r>
        <w:rPr>
          <w:color w:val="auto"/>
          <w:sz w:val="21"/>
        </w:rPr>
        <w:t xml:space="preserve"> </w:t>
      </w:r>
    </w:p>
    <w:p>
      <w:pPr>
        <w:pStyle w:val="8"/>
        <w:spacing w:before="7"/>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4.11</w:t>
      </w:r>
      <w:r>
        <w:rPr>
          <w:color w:val="auto"/>
          <w:spacing w:val="-9"/>
          <w:sz w:val="21"/>
        </w:rPr>
        <w:t xml:space="preserve"> 款约定，确定产生的费用增加额；</w:t>
      </w:r>
      <w:r>
        <w:rPr>
          <w:color w:val="auto"/>
          <w:sz w:val="21"/>
        </w:rPr>
        <w:t xml:space="preserve"> </w:t>
      </w:r>
    </w:p>
    <w:p>
      <w:pPr>
        <w:pStyle w:val="8"/>
        <w:spacing w:before="7"/>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11.3</w:t>
      </w:r>
      <w:r>
        <w:rPr>
          <w:color w:val="auto"/>
          <w:spacing w:val="-9"/>
          <w:sz w:val="21"/>
        </w:rPr>
        <w:t xml:space="preserve"> 款约定，确定延长完工期限；</w:t>
      </w:r>
      <w:r>
        <w:rPr>
          <w:color w:val="auto"/>
          <w:sz w:val="21"/>
        </w:rPr>
        <w:t xml:space="preserve"> </w:t>
      </w:r>
    </w:p>
    <w:p>
      <w:pPr>
        <w:pStyle w:val="8"/>
        <w:spacing w:before="6"/>
        <w:rPr>
          <w:color w:val="auto"/>
          <w:sz w:val="15"/>
        </w:rPr>
      </w:pPr>
    </w:p>
    <w:p>
      <w:pPr>
        <w:pStyle w:val="44"/>
        <w:numPr>
          <w:ilvl w:val="0"/>
          <w:numId w:val="70"/>
        </w:numPr>
        <w:tabs>
          <w:tab w:val="left" w:pos="1163"/>
        </w:tabs>
        <w:spacing w:before="1"/>
        <w:ind w:hanging="530"/>
        <w:rPr>
          <w:color w:val="auto"/>
          <w:sz w:val="21"/>
        </w:rPr>
      </w:pPr>
      <w:r>
        <w:rPr>
          <w:color w:val="auto"/>
          <w:spacing w:val="-18"/>
          <w:sz w:val="21"/>
        </w:rPr>
        <w:t xml:space="preserve">按第 </w:t>
      </w:r>
      <w:r>
        <w:rPr>
          <w:color w:val="auto"/>
          <w:sz w:val="21"/>
        </w:rPr>
        <w:t>11.1</w:t>
      </w:r>
      <w:r>
        <w:rPr>
          <w:color w:val="auto"/>
          <w:spacing w:val="-20"/>
          <w:sz w:val="21"/>
        </w:rPr>
        <w:t xml:space="preserve"> 款、</w:t>
      </w:r>
      <w:r>
        <w:rPr>
          <w:color w:val="auto"/>
          <w:sz w:val="21"/>
        </w:rPr>
        <w:t>12.1</w:t>
      </w:r>
      <w:r>
        <w:rPr>
          <w:color w:val="auto"/>
          <w:spacing w:val="-18"/>
          <w:sz w:val="21"/>
        </w:rPr>
        <w:t xml:space="preserve"> 款、</w:t>
      </w:r>
      <w:r>
        <w:rPr>
          <w:color w:val="auto"/>
          <w:sz w:val="21"/>
        </w:rPr>
        <w:t>12.4</w:t>
      </w:r>
      <w:r>
        <w:rPr>
          <w:color w:val="auto"/>
          <w:spacing w:val="-9"/>
          <w:sz w:val="21"/>
        </w:rPr>
        <w:t xml:space="preserve"> 款约定，发布开工通知、暂停施工指示或复工通知；</w:t>
      </w:r>
      <w:r>
        <w:rPr>
          <w:color w:val="auto"/>
          <w:sz w:val="21"/>
        </w:rPr>
        <w:t xml:space="preserve"> </w:t>
      </w:r>
    </w:p>
    <w:p>
      <w:pPr>
        <w:pStyle w:val="8"/>
        <w:spacing w:before="6"/>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11.3</w:t>
      </w:r>
      <w:r>
        <w:rPr>
          <w:color w:val="auto"/>
          <w:spacing w:val="-20"/>
          <w:sz w:val="21"/>
        </w:rPr>
        <w:t xml:space="preserve"> 款、</w:t>
      </w:r>
      <w:r>
        <w:rPr>
          <w:color w:val="auto"/>
          <w:sz w:val="21"/>
        </w:rPr>
        <w:t>11.4</w:t>
      </w:r>
      <w:r>
        <w:rPr>
          <w:color w:val="auto"/>
          <w:spacing w:val="-9"/>
          <w:sz w:val="21"/>
        </w:rPr>
        <w:t xml:space="preserve"> 款约定，确定工期延长；</w:t>
      </w:r>
      <w:r>
        <w:rPr>
          <w:color w:val="auto"/>
          <w:sz w:val="21"/>
        </w:rPr>
        <w:t xml:space="preserve"> </w:t>
      </w:r>
    </w:p>
    <w:p>
      <w:pPr>
        <w:pStyle w:val="8"/>
        <w:spacing w:before="8"/>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15.3.2</w:t>
      </w:r>
      <w:r>
        <w:rPr>
          <w:color w:val="auto"/>
          <w:spacing w:val="-8"/>
          <w:sz w:val="21"/>
        </w:rPr>
        <w:t xml:space="preserve"> 款约定，发出变更指令，确定变更价格；</w:t>
      </w:r>
      <w:r>
        <w:rPr>
          <w:color w:val="auto"/>
          <w:sz w:val="21"/>
        </w:rPr>
        <w:t xml:space="preserve"> </w:t>
      </w:r>
    </w:p>
    <w:p>
      <w:pPr>
        <w:pStyle w:val="8"/>
        <w:spacing w:before="6"/>
        <w:rPr>
          <w:color w:val="auto"/>
          <w:sz w:val="15"/>
        </w:rPr>
      </w:pPr>
    </w:p>
    <w:p>
      <w:pPr>
        <w:pStyle w:val="44"/>
        <w:numPr>
          <w:ilvl w:val="0"/>
          <w:numId w:val="70"/>
        </w:numPr>
        <w:tabs>
          <w:tab w:val="left" w:pos="1163"/>
        </w:tabs>
        <w:ind w:hanging="530"/>
        <w:rPr>
          <w:color w:val="auto"/>
          <w:sz w:val="21"/>
        </w:rPr>
      </w:pPr>
      <w:r>
        <w:rPr>
          <w:color w:val="auto"/>
          <w:spacing w:val="-15"/>
          <w:sz w:val="21"/>
        </w:rPr>
        <w:t xml:space="preserve">按第 </w:t>
      </w:r>
      <w:r>
        <w:rPr>
          <w:color w:val="auto"/>
          <w:sz w:val="21"/>
        </w:rPr>
        <w:t>15.4</w:t>
      </w:r>
      <w:r>
        <w:rPr>
          <w:color w:val="auto"/>
          <w:spacing w:val="-8"/>
          <w:sz w:val="21"/>
        </w:rPr>
        <w:t xml:space="preserve"> 款约定，确定变更工作的单价；</w:t>
      </w:r>
      <w:r>
        <w:rPr>
          <w:color w:val="auto"/>
          <w:sz w:val="21"/>
        </w:rPr>
        <w:t xml:space="preserve"> </w:t>
      </w:r>
    </w:p>
    <w:p>
      <w:pPr>
        <w:pStyle w:val="8"/>
        <w:spacing w:before="7"/>
        <w:rPr>
          <w:color w:val="auto"/>
          <w:sz w:val="15"/>
        </w:rPr>
      </w:pPr>
    </w:p>
    <w:p>
      <w:pPr>
        <w:pStyle w:val="44"/>
        <w:numPr>
          <w:ilvl w:val="0"/>
          <w:numId w:val="70"/>
        </w:numPr>
        <w:tabs>
          <w:tab w:val="left" w:pos="1163"/>
        </w:tabs>
        <w:ind w:hanging="530"/>
        <w:rPr>
          <w:color w:val="auto"/>
          <w:sz w:val="21"/>
        </w:rPr>
      </w:pPr>
      <w:r>
        <w:rPr>
          <w:color w:val="auto"/>
          <w:spacing w:val="-15"/>
          <w:sz w:val="21"/>
        </w:rPr>
        <w:t xml:space="preserve">按第 </w:t>
      </w:r>
      <w:r>
        <w:rPr>
          <w:color w:val="auto"/>
          <w:sz w:val="21"/>
        </w:rPr>
        <w:t>15.4</w:t>
      </w:r>
      <w:r>
        <w:rPr>
          <w:color w:val="auto"/>
          <w:spacing w:val="-8"/>
          <w:sz w:val="21"/>
        </w:rPr>
        <w:t xml:space="preserve"> 款约定，批准暂列金额的使用；</w:t>
      </w:r>
      <w:r>
        <w:rPr>
          <w:color w:val="auto"/>
          <w:sz w:val="21"/>
        </w:rPr>
        <w:t xml:space="preserve"> </w:t>
      </w:r>
    </w:p>
    <w:p>
      <w:pPr>
        <w:pStyle w:val="8"/>
        <w:spacing w:before="7"/>
        <w:rPr>
          <w:color w:val="auto"/>
          <w:sz w:val="15"/>
        </w:rPr>
      </w:pPr>
    </w:p>
    <w:p>
      <w:pPr>
        <w:pStyle w:val="44"/>
        <w:numPr>
          <w:ilvl w:val="0"/>
          <w:numId w:val="70"/>
        </w:numPr>
        <w:tabs>
          <w:tab w:val="left" w:pos="1163"/>
        </w:tabs>
        <w:ind w:hanging="530"/>
        <w:rPr>
          <w:color w:val="auto"/>
          <w:sz w:val="21"/>
        </w:rPr>
      </w:pPr>
      <w:r>
        <w:rPr>
          <w:color w:val="auto"/>
          <w:spacing w:val="-19"/>
          <w:sz w:val="21"/>
        </w:rPr>
        <w:t xml:space="preserve">按第 </w:t>
      </w:r>
      <w:r>
        <w:rPr>
          <w:color w:val="auto"/>
          <w:sz w:val="21"/>
        </w:rPr>
        <w:t>15.6</w:t>
      </w:r>
      <w:r>
        <w:rPr>
          <w:color w:val="auto"/>
          <w:spacing w:val="-9"/>
          <w:sz w:val="21"/>
        </w:rPr>
        <w:t xml:space="preserve"> 款约定，确定暂估价金额；</w:t>
      </w:r>
      <w:r>
        <w:rPr>
          <w:color w:val="auto"/>
          <w:sz w:val="21"/>
        </w:rPr>
        <w:t xml:space="preserve"> </w:t>
      </w:r>
    </w:p>
    <w:p>
      <w:pPr>
        <w:pStyle w:val="8"/>
        <w:spacing w:before="7"/>
        <w:rPr>
          <w:color w:val="auto"/>
          <w:sz w:val="15"/>
        </w:rPr>
      </w:pPr>
    </w:p>
    <w:p>
      <w:pPr>
        <w:pStyle w:val="44"/>
        <w:numPr>
          <w:ilvl w:val="0"/>
          <w:numId w:val="70"/>
        </w:numPr>
        <w:tabs>
          <w:tab w:val="left" w:pos="1268"/>
        </w:tabs>
        <w:ind w:left="1267" w:hanging="635"/>
        <w:jc w:val="both"/>
        <w:rPr>
          <w:color w:val="auto"/>
          <w:sz w:val="21"/>
        </w:rPr>
      </w:pPr>
      <w:r>
        <w:rPr>
          <w:color w:val="auto"/>
          <w:spacing w:val="-19"/>
          <w:sz w:val="21"/>
        </w:rPr>
        <w:t xml:space="preserve">按第 </w:t>
      </w:r>
      <w:r>
        <w:rPr>
          <w:color w:val="auto"/>
          <w:sz w:val="21"/>
        </w:rPr>
        <w:t>23.1</w:t>
      </w:r>
      <w:r>
        <w:rPr>
          <w:color w:val="auto"/>
          <w:spacing w:val="-9"/>
          <w:sz w:val="21"/>
        </w:rPr>
        <w:t xml:space="preserve"> 款约定，确定索赔额。</w:t>
      </w:r>
      <w:r>
        <w:rPr>
          <w:color w:val="auto"/>
          <w:sz w:val="21"/>
        </w:rPr>
        <w:t xml:space="preserve"> </w:t>
      </w:r>
    </w:p>
    <w:p>
      <w:pPr>
        <w:pStyle w:val="8"/>
        <w:spacing w:before="6"/>
        <w:rPr>
          <w:color w:val="auto"/>
          <w:sz w:val="15"/>
        </w:rPr>
      </w:pPr>
    </w:p>
    <w:p>
      <w:pPr>
        <w:pStyle w:val="8"/>
        <w:spacing w:before="1" w:line="417" w:lineRule="auto"/>
        <w:ind w:left="212" w:right="405" w:firstLine="420"/>
        <w:jc w:val="both"/>
        <w:rPr>
          <w:color w:val="auto"/>
        </w:rPr>
      </w:pPr>
      <w:r>
        <w:rPr>
          <w:color w:val="auto"/>
          <w:spacing w:val="-6"/>
        </w:rPr>
        <w:t>尽管有以上规定，但当监理人认为出现了危及生命、工程或毗邻财产等安全的紧急事件时，在不免除</w:t>
      </w:r>
      <w:r>
        <w:rPr>
          <w:color w:val="auto"/>
          <w:spacing w:val="-4"/>
        </w:rPr>
        <w:t xml:space="preserve">合同规定的承包人责任的情况下，监理人可以指示承包人实施为消除或减少这种危险所必须进行的工作， </w:t>
      </w:r>
      <w:r>
        <w:rPr>
          <w:color w:val="auto"/>
          <w:spacing w:val="-3"/>
        </w:rPr>
        <w:t xml:space="preserve">即使没有发包人的事先批准，承包人也应立即遵照执行。监理人应按第 </w:t>
      </w:r>
      <w:r>
        <w:rPr>
          <w:color w:val="auto"/>
        </w:rPr>
        <w:t>15</w:t>
      </w:r>
      <w:r>
        <w:rPr>
          <w:color w:val="auto"/>
          <w:spacing w:val="-3"/>
        </w:rPr>
        <w:t xml:space="preserve"> 条的规定增加相应的费用，并通知承包人。</w:t>
      </w:r>
      <w:r>
        <w:rPr>
          <w:color w:val="auto"/>
        </w:rPr>
        <w:t xml:space="preserve"> </w:t>
      </w:r>
    </w:p>
    <w:p>
      <w:pPr>
        <w:pStyle w:val="8"/>
        <w:spacing w:line="269" w:lineRule="exact"/>
        <w:ind w:left="212"/>
        <w:rPr>
          <w:color w:val="auto"/>
        </w:rPr>
      </w:pPr>
      <w:r>
        <w:rPr>
          <w:color w:val="auto"/>
        </w:rPr>
        <w:t xml:space="preserve"> </w:t>
      </w:r>
    </w:p>
    <w:p>
      <w:pPr>
        <w:pStyle w:val="55"/>
        <w:spacing w:before="99"/>
        <w:ind w:left="212" w:firstLine="0"/>
        <w:rPr>
          <w:color w:val="auto"/>
        </w:rPr>
      </w:pPr>
      <w:bookmarkStart w:id="263" w:name="4__承包人"/>
      <w:bookmarkEnd w:id="263"/>
      <w:r>
        <w:rPr>
          <w:color w:val="auto"/>
        </w:rPr>
        <w:t>4 承包人</w:t>
      </w:r>
      <w:r>
        <w:rPr>
          <w:color w:val="auto"/>
          <w:w w:val="99"/>
        </w:rPr>
        <w:t xml:space="preserve"> </w:t>
      </w:r>
    </w:p>
    <w:p>
      <w:pPr>
        <w:spacing w:before="158"/>
        <w:ind w:left="212"/>
        <w:rPr>
          <w:b/>
          <w:color w:val="auto"/>
          <w:sz w:val="24"/>
        </w:rPr>
      </w:pPr>
      <w:bookmarkStart w:id="264" w:name="4.1_承包人的一般义务"/>
      <w:bookmarkEnd w:id="264"/>
      <w:r>
        <w:rPr>
          <w:b/>
          <w:color w:val="auto"/>
          <w:sz w:val="24"/>
        </w:rPr>
        <w:t>4.1 承包人的一般义务</w:t>
      </w:r>
      <w:r>
        <w:rPr>
          <w:b/>
          <w:color w:val="auto"/>
          <w:w w:val="99"/>
          <w:sz w:val="24"/>
        </w:rPr>
        <w:t xml:space="preserve"> </w:t>
      </w:r>
    </w:p>
    <w:p>
      <w:pPr>
        <w:pStyle w:val="8"/>
        <w:spacing w:before="4"/>
        <w:rPr>
          <w:b/>
          <w:color w:val="auto"/>
          <w:sz w:val="20"/>
        </w:rPr>
      </w:pPr>
    </w:p>
    <w:p>
      <w:pPr>
        <w:pStyle w:val="56"/>
        <w:numPr>
          <w:ilvl w:val="2"/>
          <w:numId w:val="71"/>
        </w:numPr>
        <w:tabs>
          <w:tab w:val="left" w:pos="1273"/>
        </w:tabs>
        <w:ind w:hanging="638"/>
        <w:rPr>
          <w:color w:val="auto"/>
        </w:rPr>
      </w:pPr>
      <w:r>
        <w:rPr>
          <w:color w:val="auto"/>
          <w:spacing w:val="-1"/>
        </w:rPr>
        <w:t>其它义务</w:t>
      </w:r>
      <w:r>
        <w:rPr>
          <w:color w:val="auto"/>
          <w:w w:val="99"/>
        </w:rPr>
        <w:t xml:space="preserve"> </w:t>
      </w:r>
    </w:p>
    <w:p>
      <w:pPr>
        <w:pStyle w:val="8"/>
        <w:spacing w:before="6"/>
        <w:rPr>
          <w:b/>
          <w:color w:val="auto"/>
          <w:sz w:val="15"/>
        </w:rPr>
      </w:pPr>
    </w:p>
    <w:p>
      <w:pPr>
        <w:pStyle w:val="44"/>
        <w:numPr>
          <w:ilvl w:val="3"/>
          <w:numId w:val="71"/>
        </w:numPr>
        <w:tabs>
          <w:tab w:val="left" w:pos="1477"/>
        </w:tabs>
        <w:spacing w:before="1" w:line="417" w:lineRule="auto"/>
        <w:ind w:right="429" w:firstLine="420"/>
        <w:rPr>
          <w:color w:val="auto"/>
          <w:sz w:val="21"/>
        </w:rPr>
      </w:pPr>
      <w:r>
        <w:rPr>
          <w:color w:val="auto"/>
          <w:spacing w:val="-3"/>
          <w:sz w:val="21"/>
        </w:rPr>
        <w:t xml:space="preserve">承包人应在合同约定的开工时间前的 </w:t>
      </w:r>
      <w:r>
        <w:rPr>
          <w:color w:val="auto"/>
          <w:sz w:val="21"/>
        </w:rPr>
        <w:t>7</w:t>
      </w:r>
      <w:r>
        <w:rPr>
          <w:color w:val="auto"/>
          <w:spacing w:val="-3"/>
          <w:sz w:val="21"/>
        </w:rPr>
        <w:t xml:space="preserve"> 天内确保合同工程所需的设备、人员、材料进场到位。 </w:t>
      </w:r>
    </w:p>
    <w:p>
      <w:pPr>
        <w:pStyle w:val="44"/>
        <w:numPr>
          <w:ilvl w:val="3"/>
          <w:numId w:val="71"/>
        </w:numPr>
        <w:tabs>
          <w:tab w:val="left" w:pos="1477"/>
        </w:tabs>
        <w:spacing w:line="417" w:lineRule="auto"/>
        <w:ind w:right="325" w:firstLine="420"/>
        <w:rPr>
          <w:color w:val="auto"/>
          <w:sz w:val="21"/>
        </w:rPr>
      </w:pPr>
      <w:r>
        <w:rPr>
          <w:color w:val="auto"/>
          <w:spacing w:val="-5"/>
          <w:sz w:val="21"/>
        </w:rPr>
        <w:t>承包人应根据工程施工情况及监理人的指令，按时向监理人提交技术标准和要求和</w:t>
      </w:r>
      <w:r>
        <w:rPr>
          <w:color w:val="auto"/>
          <w:sz w:val="21"/>
        </w:rPr>
        <w:t>/</w:t>
      </w:r>
      <w:r>
        <w:rPr>
          <w:color w:val="auto"/>
          <w:spacing w:val="-2"/>
          <w:sz w:val="21"/>
        </w:rPr>
        <w:t>或法律法</w:t>
      </w:r>
      <w:r>
        <w:rPr>
          <w:color w:val="auto"/>
          <w:spacing w:val="-4"/>
          <w:sz w:val="21"/>
        </w:rPr>
        <w:t>规要求的各种报告。承包人提交上述报告所需的一切费用均已包括在合同总价中，发包人不另行支付。</w:t>
      </w:r>
      <w:r>
        <w:rPr>
          <w:color w:val="auto"/>
          <w:sz w:val="21"/>
        </w:rPr>
        <w:t xml:space="preserve"> </w:t>
      </w:r>
    </w:p>
    <w:p>
      <w:pPr>
        <w:pStyle w:val="44"/>
        <w:numPr>
          <w:ilvl w:val="3"/>
          <w:numId w:val="71"/>
        </w:numPr>
        <w:tabs>
          <w:tab w:val="left" w:pos="1526"/>
        </w:tabs>
        <w:spacing w:line="417" w:lineRule="auto"/>
        <w:ind w:right="426" w:firstLine="420"/>
        <w:jc w:val="both"/>
        <w:rPr>
          <w:color w:val="auto"/>
          <w:sz w:val="21"/>
        </w:rPr>
      </w:pPr>
      <w:r>
        <w:rPr>
          <w:color w:val="auto"/>
          <w:spacing w:val="-8"/>
          <w:sz w:val="21"/>
        </w:rPr>
        <w:t>承包人应对投标报价以及经评标确定的《工程量清单》中所报单价和合价的正确性和完备性</w:t>
      </w:r>
      <w:r>
        <w:rPr>
          <w:color w:val="auto"/>
          <w:spacing w:val="-7"/>
          <w:sz w:val="21"/>
        </w:rPr>
        <w:t>负责。除合同中另有规定外，上述报价包括了合同内列明和包含的应由承包人承担的全部责任和义务、风</w:t>
      </w:r>
      <w:r>
        <w:rPr>
          <w:color w:val="auto"/>
          <w:spacing w:val="-5"/>
          <w:sz w:val="21"/>
        </w:rPr>
        <w:t xml:space="preserve">险所发生的一切费用，以及为合同工程的施工、完工和修补缺陷所需的全部费用及利润、税费。 </w:t>
      </w:r>
    </w:p>
    <w:p>
      <w:pPr>
        <w:pStyle w:val="44"/>
        <w:numPr>
          <w:ilvl w:val="3"/>
          <w:numId w:val="71"/>
        </w:numPr>
        <w:tabs>
          <w:tab w:val="left" w:pos="1477"/>
        </w:tabs>
        <w:spacing w:line="268" w:lineRule="exact"/>
        <w:ind w:left="1476"/>
        <w:rPr>
          <w:color w:val="auto"/>
          <w:sz w:val="21"/>
        </w:rPr>
      </w:pPr>
      <w:r>
        <w:rPr>
          <w:color w:val="auto"/>
          <w:sz w:val="21"/>
        </w:rPr>
        <w:t>监理人对承包人的施工计划、方法、措施以及设计图纸的审查与批准，或对于承包人所实</w:t>
      </w:r>
    </w:p>
    <w:p>
      <w:pPr>
        <w:spacing w:line="268" w:lineRule="exact"/>
        <w:rPr>
          <w:color w:val="auto"/>
          <w:sz w:val="21"/>
        </w:rPr>
        <w:sectPr>
          <w:pgSz w:w="11910" w:h="16840"/>
          <w:pgMar w:top="1460" w:right="700" w:bottom="1180" w:left="920" w:header="0" w:footer="995" w:gutter="0"/>
          <w:pgNumType w:fmt="decimal"/>
          <w:cols w:space="720" w:num="1"/>
        </w:sectPr>
      </w:pPr>
    </w:p>
    <w:p>
      <w:pPr>
        <w:pStyle w:val="8"/>
        <w:spacing w:before="45"/>
        <w:ind w:left="212"/>
        <w:rPr>
          <w:color w:val="auto"/>
        </w:rPr>
      </w:pPr>
      <w:r>
        <w:rPr>
          <w:color w:val="auto"/>
        </w:rPr>
        <w:t xml:space="preserve">施工程的检查和检验，并不意味着可变更或减轻承包人应承担的全部合同义务与责任。 </w:t>
      </w:r>
    </w:p>
    <w:p>
      <w:pPr>
        <w:pStyle w:val="8"/>
        <w:spacing w:before="7"/>
        <w:rPr>
          <w:color w:val="auto"/>
          <w:sz w:val="15"/>
        </w:rPr>
      </w:pPr>
    </w:p>
    <w:p>
      <w:pPr>
        <w:pStyle w:val="44"/>
        <w:numPr>
          <w:ilvl w:val="3"/>
          <w:numId w:val="71"/>
        </w:numPr>
        <w:tabs>
          <w:tab w:val="left" w:pos="1477"/>
        </w:tabs>
        <w:spacing w:line="417" w:lineRule="auto"/>
        <w:ind w:right="431" w:firstLine="420"/>
        <w:rPr>
          <w:color w:val="auto"/>
          <w:sz w:val="21"/>
        </w:rPr>
      </w:pPr>
      <w:r>
        <w:rPr>
          <w:color w:val="auto"/>
          <w:sz w:val="21"/>
        </w:rPr>
        <w:t>在合同工程施工期和保修期（缺陷责任期）</w:t>
      </w:r>
      <w:r>
        <w:rPr>
          <w:color w:val="auto"/>
          <w:spacing w:val="-1"/>
          <w:sz w:val="21"/>
        </w:rPr>
        <w:t>，承包人有义务采取措施防御洪水，保证工程</w:t>
      </w:r>
      <w:r>
        <w:rPr>
          <w:color w:val="auto"/>
          <w:spacing w:val="-3"/>
          <w:sz w:val="21"/>
        </w:rPr>
        <w:t>安全，必须服从抗洪抢险的命令和统一指挥调度。</w:t>
      </w:r>
      <w:r>
        <w:rPr>
          <w:color w:val="auto"/>
          <w:sz w:val="21"/>
        </w:rPr>
        <w:t xml:space="preserve"> </w:t>
      </w:r>
    </w:p>
    <w:p>
      <w:pPr>
        <w:pStyle w:val="44"/>
        <w:numPr>
          <w:ilvl w:val="3"/>
          <w:numId w:val="71"/>
        </w:numPr>
        <w:tabs>
          <w:tab w:val="left" w:pos="1477"/>
        </w:tabs>
        <w:spacing w:line="417" w:lineRule="auto"/>
        <w:ind w:right="436" w:firstLine="420"/>
        <w:rPr>
          <w:color w:val="auto"/>
          <w:sz w:val="21"/>
        </w:rPr>
      </w:pPr>
      <w:r>
        <w:rPr>
          <w:color w:val="auto"/>
          <w:spacing w:val="-1"/>
          <w:sz w:val="21"/>
        </w:rPr>
        <w:t>承包人对本合同工程的施工质量负终身责任，承包人的法定代表人是本合同工程施工质量</w:t>
      </w:r>
      <w:r>
        <w:rPr>
          <w:color w:val="auto"/>
          <w:spacing w:val="-3"/>
          <w:sz w:val="21"/>
        </w:rPr>
        <w:t>的终身责任人。</w:t>
      </w:r>
      <w:r>
        <w:rPr>
          <w:color w:val="auto"/>
          <w:sz w:val="21"/>
        </w:rPr>
        <w:t xml:space="preserve"> </w:t>
      </w:r>
    </w:p>
    <w:p>
      <w:pPr>
        <w:pStyle w:val="44"/>
        <w:numPr>
          <w:ilvl w:val="3"/>
          <w:numId w:val="71"/>
        </w:numPr>
        <w:tabs>
          <w:tab w:val="left" w:pos="1477"/>
        </w:tabs>
        <w:spacing w:line="417" w:lineRule="auto"/>
        <w:ind w:right="323" w:firstLine="420"/>
        <w:rPr>
          <w:color w:val="auto"/>
          <w:sz w:val="21"/>
        </w:rPr>
      </w:pPr>
      <w:r>
        <w:rPr>
          <w:color w:val="auto"/>
          <w:spacing w:val="-6"/>
          <w:sz w:val="21"/>
        </w:rPr>
        <w:t xml:space="preserve">承包人应积极、主动协调和处理与当地政府、当地各部门、当地居民以及其他各方的关系， </w:t>
      </w:r>
      <w:r>
        <w:rPr>
          <w:color w:val="auto"/>
          <w:spacing w:val="-4"/>
          <w:sz w:val="21"/>
        </w:rPr>
        <w:t>并承担由此产生的一切费用，该费用已包括在合同总价中，发包人不再另行支付。</w:t>
      </w:r>
      <w:r>
        <w:rPr>
          <w:color w:val="auto"/>
          <w:sz w:val="21"/>
        </w:rPr>
        <w:t xml:space="preserve"> </w:t>
      </w:r>
    </w:p>
    <w:p>
      <w:pPr>
        <w:pStyle w:val="44"/>
        <w:numPr>
          <w:ilvl w:val="3"/>
          <w:numId w:val="71"/>
        </w:numPr>
        <w:tabs>
          <w:tab w:val="left" w:pos="1477"/>
        </w:tabs>
        <w:spacing w:line="269" w:lineRule="exact"/>
        <w:ind w:firstLine="420"/>
        <w:rPr>
          <w:color w:val="auto"/>
          <w:sz w:val="21"/>
        </w:rPr>
      </w:pPr>
      <w:r>
        <w:rPr>
          <w:color w:val="auto"/>
          <w:sz w:val="21"/>
        </w:rPr>
        <w:t>承包人应了解当地对环保的各种规定和要求及与本工程施工相关的应注意的环保因素，承</w:t>
      </w:r>
    </w:p>
    <w:p>
      <w:pPr>
        <w:pStyle w:val="8"/>
        <w:spacing w:before="8" w:line="460" w:lineRule="atLeast"/>
        <w:ind w:left="212" w:right="405"/>
        <w:rPr>
          <w:color w:val="auto"/>
        </w:rPr>
      </w:pPr>
      <w:r>
        <w:rPr>
          <w:color w:val="auto"/>
        </w:rPr>
        <w:t xml:space="preserve">包人在合同工程施工期和保修期（缺陷责任期），承包人有义务采取措施做好环境保护，所需费用已包括在合同总价中，承包人也不得由此提出任何费用补偿或索赔要求。 </w:t>
      </w:r>
    </w:p>
    <w:p>
      <w:pPr>
        <w:pStyle w:val="55"/>
        <w:numPr>
          <w:ilvl w:val="1"/>
          <w:numId w:val="72"/>
        </w:numPr>
        <w:tabs>
          <w:tab w:val="left" w:pos="639"/>
        </w:tabs>
        <w:spacing w:before="107"/>
        <w:ind w:hanging="427"/>
        <w:rPr>
          <w:color w:val="auto"/>
        </w:rPr>
      </w:pPr>
      <w:bookmarkStart w:id="265" w:name="4.3分包"/>
      <w:bookmarkEnd w:id="265"/>
      <w:r>
        <w:rPr>
          <w:color w:val="auto"/>
        </w:rPr>
        <w:t>分包</w:t>
      </w:r>
      <w:r>
        <w:rPr>
          <w:color w:val="auto"/>
          <w:w w:val="99"/>
        </w:rPr>
        <w:t xml:space="preserve"> </w:t>
      </w:r>
    </w:p>
    <w:p>
      <w:pPr>
        <w:pStyle w:val="8"/>
        <w:spacing w:before="2"/>
        <w:rPr>
          <w:b/>
          <w:color w:val="auto"/>
          <w:sz w:val="20"/>
        </w:rPr>
      </w:pPr>
    </w:p>
    <w:p>
      <w:pPr>
        <w:pStyle w:val="44"/>
        <w:numPr>
          <w:ilvl w:val="2"/>
          <w:numId w:val="72"/>
        </w:numPr>
        <w:tabs>
          <w:tab w:val="left" w:pos="1222"/>
        </w:tabs>
        <w:spacing w:line="417" w:lineRule="auto"/>
        <w:ind w:right="426" w:firstLine="420"/>
        <w:rPr>
          <w:color w:val="auto"/>
          <w:sz w:val="21"/>
        </w:rPr>
      </w:pPr>
      <w:r>
        <w:rPr>
          <w:color w:val="auto"/>
          <w:spacing w:val="-6"/>
          <w:sz w:val="21"/>
        </w:rPr>
        <w:t xml:space="preserve">删除通用合同条款 </w:t>
      </w:r>
      <w:r>
        <w:rPr>
          <w:color w:val="auto"/>
          <w:sz w:val="21"/>
        </w:rPr>
        <w:t>4.3.1</w:t>
      </w:r>
      <w:r>
        <w:rPr>
          <w:color w:val="auto"/>
          <w:spacing w:val="-6"/>
          <w:sz w:val="21"/>
        </w:rPr>
        <w:t xml:space="preserve"> 条全文，并以下文代替：本合同工程不允许转让和分包，如发现转让</w:t>
      </w:r>
      <w:r>
        <w:rPr>
          <w:color w:val="auto"/>
          <w:spacing w:val="-4"/>
          <w:sz w:val="21"/>
        </w:rPr>
        <w:t xml:space="preserve">和分包，发包方有权终止合同。 </w:t>
      </w:r>
    </w:p>
    <w:p>
      <w:pPr>
        <w:pStyle w:val="44"/>
        <w:numPr>
          <w:ilvl w:val="2"/>
          <w:numId w:val="72"/>
        </w:numPr>
        <w:tabs>
          <w:tab w:val="left" w:pos="1163"/>
        </w:tabs>
        <w:spacing w:line="269" w:lineRule="exact"/>
        <w:ind w:left="1162" w:hanging="530"/>
        <w:rPr>
          <w:color w:val="auto"/>
          <w:sz w:val="21"/>
        </w:rPr>
      </w:pPr>
      <w:r>
        <w:rPr>
          <w:color w:val="auto"/>
          <w:spacing w:val="-3"/>
          <w:sz w:val="21"/>
        </w:rPr>
        <w:t>允许承包人分包的工程项目、工作内容与分包金额限额为：</w:t>
      </w:r>
      <w:r>
        <w:rPr>
          <w:color w:val="auto"/>
          <w:sz w:val="21"/>
        </w:rPr>
        <w:t xml:space="preserve"> </w:t>
      </w:r>
    </w:p>
    <w:p>
      <w:pPr>
        <w:pStyle w:val="8"/>
        <w:spacing w:before="6"/>
        <w:rPr>
          <w:color w:val="auto"/>
          <w:sz w:val="15"/>
        </w:rPr>
      </w:pPr>
    </w:p>
    <w:p>
      <w:pPr>
        <w:pStyle w:val="8"/>
        <w:spacing w:before="1"/>
        <w:ind w:left="633"/>
        <w:rPr>
          <w:color w:val="auto"/>
        </w:rPr>
      </w:pPr>
      <w:r>
        <w:rPr>
          <w:color w:val="auto"/>
        </w:rPr>
        <w:t>（1） 工 程 项 目 ：</w:t>
      </w:r>
      <w:r>
        <w:rPr>
          <w:color w:val="auto"/>
          <w:u w:val="single"/>
        </w:rPr>
        <w:t xml:space="preserve"> </w:t>
      </w:r>
      <w:r>
        <w:rPr>
          <w:color w:val="auto"/>
        </w:rPr>
        <w:t xml:space="preserve">。 </w:t>
      </w:r>
    </w:p>
    <w:p>
      <w:pPr>
        <w:pStyle w:val="8"/>
        <w:spacing w:before="11"/>
        <w:rPr>
          <w:color w:val="auto"/>
          <w:sz w:val="9"/>
        </w:rPr>
      </w:pPr>
    </w:p>
    <w:p>
      <w:pPr>
        <w:pStyle w:val="8"/>
        <w:spacing w:before="72"/>
        <w:ind w:left="633"/>
        <w:rPr>
          <w:color w:val="auto"/>
        </w:rPr>
      </w:pPr>
      <w:r>
        <w:rPr>
          <w:color w:val="auto"/>
        </w:rPr>
        <w:t>（2） 工 作 内 容 ：</w:t>
      </w:r>
      <w:r>
        <w:rPr>
          <w:color w:val="auto"/>
          <w:u w:val="single"/>
        </w:rPr>
        <w:t xml:space="preserve"> </w:t>
      </w:r>
      <w:r>
        <w:rPr>
          <w:color w:val="auto"/>
        </w:rPr>
        <w:t xml:space="preserve">。 </w:t>
      </w:r>
    </w:p>
    <w:p>
      <w:pPr>
        <w:pStyle w:val="8"/>
        <w:rPr>
          <w:color w:val="auto"/>
          <w:sz w:val="10"/>
        </w:rPr>
      </w:pPr>
    </w:p>
    <w:p>
      <w:pPr>
        <w:pStyle w:val="8"/>
        <w:spacing w:before="71"/>
        <w:ind w:left="633"/>
        <w:rPr>
          <w:color w:val="auto"/>
        </w:rPr>
      </w:pPr>
      <w:r>
        <w:rPr>
          <w:color w:val="auto"/>
        </w:rPr>
        <w:t>（3） 分 包 金 额 限 额 ：</w:t>
      </w:r>
      <w:r>
        <w:rPr>
          <w:color w:val="auto"/>
          <w:u w:val="single"/>
        </w:rPr>
        <w:t xml:space="preserve"> </w:t>
      </w:r>
      <w:r>
        <w:rPr>
          <w:color w:val="auto"/>
        </w:rPr>
        <w:t xml:space="preserve">。 </w:t>
      </w:r>
    </w:p>
    <w:p>
      <w:pPr>
        <w:pStyle w:val="55"/>
        <w:numPr>
          <w:ilvl w:val="1"/>
          <w:numId w:val="73"/>
        </w:numPr>
        <w:tabs>
          <w:tab w:val="left" w:pos="576"/>
        </w:tabs>
        <w:spacing w:before="100"/>
        <w:rPr>
          <w:color w:val="auto"/>
        </w:rPr>
      </w:pPr>
      <w:bookmarkStart w:id="266" w:name="4.6_承包人人员的管理"/>
      <w:bookmarkEnd w:id="266"/>
      <w:r>
        <w:rPr>
          <w:color w:val="auto"/>
        </w:rPr>
        <w:t>承包人人员的管理</w:t>
      </w:r>
      <w:r>
        <w:rPr>
          <w:color w:val="auto"/>
          <w:w w:val="99"/>
        </w:rPr>
        <w:t xml:space="preserve"> </w:t>
      </w:r>
    </w:p>
    <w:p>
      <w:pPr>
        <w:pStyle w:val="44"/>
        <w:numPr>
          <w:ilvl w:val="2"/>
          <w:numId w:val="73"/>
        </w:numPr>
        <w:tabs>
          <w:tab w:val="left" w:pos="1212"/>
        </w:tabs>
        <w:spacing w:before="161" w:line="364" w:lineRule="auto"/>
        <w:ind w:right="426" w:firstLine="420"/>
        <w:rPr>
          <w:color w:val="auto"/>
          <w:sz w:val="21"/>
        </w:rPr>
      </w:pPr>
      <w:r>
        <w:rPr>
          <w:color w:val="auto"/>
          <w:spacing w:val="-9"/>
          <w:sz w:val="21"/>
        </w:rPr>
        <w:t xml:space="preserve">将通用合同条款 </w:t>
      </w:r>
      <w:r>
        <w:rPr>
          <w:color w:val="auto"/>
          <w:sz w:val="21"/>
        </w:rPr>
        <w:t>4.6.1</w:t>
      </w:r>
      <w:r>
        <w:rPr>
          <w:color w:val="auto"/>
          <w:spacing w:val="-13"/>
          <w:sz w:val="21"/>
        </w:rPr>
        <w:t xml:space="preserve"> 条“承包人应在接到开工通知后 </w:t>
      </w:r>
      <w:r>
        <w:rPr>
          <w:color w:val="auto"/>
          <w:sz w:val="21"/>
        </w:rPr>
        <w:t>28</w:t>
      </w:r>
      <w:r>
        <w:rPr>
          <w:color w:val="auto"/>
          <w:spacing w:val="-12"/>
          <w:sz w:val="21"/>
        </w:rPr>
        <w:t xml:space="preserve"> 天内……”修改为：“承包人应在接</w:t>
      </w:r>
      <w:r>
        <w:rPr>
          <w:color w:val="auto"/>
          <w:spacing w:val="-13"/>
          <w:sz w:val="21"/>
        </w:rPr>
        <w:t xml:space="preserve">到开工通知后 </w:t>
      </w:r>
      <w:r>
        <w:rPr>
          <w:color w:val="auto"/>
          <w:sz w:val="21"/>
        </w:rPr>
        <w:t>14</w:t>
      </w:r>
      <w:r>
        <w:rPr>
          <w:color w:val="auto"/>
          <w:spacing w:val="-9"/>
          <w:sz w:val="21"/>
        </w:rPr>
        <w:t xml:space="preserve"> 天内……”。</w:t>
      </w:r>
      <w:r>
        <w:rPr>
          <w:color w:val="auto"/>
          <w:sz w:val="21"/>
        </w:rPr>
        <w:t xml:space="preserve"> </w:t>
      </w:r>
    </w:p>
    <w:p>
      <w:pPr>
        <w:pStyle w:val="55"/>
        <w:numPr>
          <w:ilvl w:val="1"/>
          <w:numId w:val="74"/>
        </w:numPr>
        <w:tabs>
          <w:tab w:val="left" w:pos="699"/>
        </w:tabs>
        <w:spacing w:line="304" w:lineRule="exact"/>
        <w:ind w:hanging="487"/>
        <w:rPr>
          <w:color w:val="auto"/>
        </w:rPr>
      </w:pPr>
      <w:bookmarkStart w:id="267" w:name="4.10_承包人现场查勘"/>
      <w:bookmarkEnd w:id="267"/>
      <w:r>
        <w:rPr>
          <w:color w:val="auto"/>
        </w:rPr>
        <w:t>承包人现场查勘</w:t>
      </w:r>
      <w:r>
        <w:rPr>
          <w:color w:val="auto"/>
          <w:w w:val="99"/>
        </w:rPr>
        <w:t xml:space="preserve"> </w:t>
      </w:r>
    </w:p>
    <w:p>
      <w:pPr>
        <w:pStyle w:val="8"/>
        <w:spacing w:before="4"/>
        <w:rPr>
          <w:b/>
          <w:color w:val="auto"/>
          <w:sz w:val="20"/>
        </w:rPr>
      </w:pPr>
    </w:p>
    <w:p>
      <w:pPr>
        <w:pStyle w:val="44"/>
        <w:numPr>
          <w:ilvl w:val="2"/>
          <w:numId w:val="74"/>
        </w:numPr>
        <w:tabs>
          <w:tab w:val="left" w:pos="1268"/>
        </w:tabs>
        <w:spacing w:line="417" w:lineRule="auto"/>
        <w:ind w:right="427" w:firstLine="420"/>
        <w:rPr>
          <w:color w:val="auto"/>
          <w:sz w:val="21"/>
        </w:rPr>
      </w:pPr>
      <w:r>
        <w:rPr>
          <w:color w:val="auto"/>
          <w:spacing w:val="-8"/>
          <w:sz w:val="21"/>
        </w:rPr>
        <w:t>发包人应向承包人介绍本项目范围内的供水、排水、供电、供气、供热、通信、广播电视等地</w:t>
      </w:r>
      <w:r>
        <w:rPr>
          <w:color w:val="auto"/>
          <w:spacing w:val="-7"/>
          <w:sz w:val="21"/>
        </w:rPr>
        <w:t>下管线资料、气象和水文观测资料，相邻建筑物和构筑物、地下工程的基本情况，承包人应根据发包人</w:t>
      </w:r>
    </w:p>
    <w:p>
      <w:pPr>
        <w:pStyle w:val="8"/>
        <w:ind w:left="212"/>
        <w:rPr>
          <w:color w:val="auto"/>
        </w:rPr>
      </w:pPr>
      <w:r>
        <w:rPr>
          <w:color w:val="auto"/>
        </w:rPr>
        <w:t xml:space="preserve">介绍的情况做更深入调查，并且对调查后所作出的结论负责。 </w:t>
      </w:r>
    </w:p>
    <w:p>
      <w:pPr>
        <w:pStyle w:val="55"/>
        <w:numPr>
          <w:ilvl w:val="1"/>
          <w:numId w:val="74"/>
        </w:numPr>
        <w:tabs>
          <w:tab w:val="left" w:pos="759"/>
        </w:tabs>
        <w:spacing w:before="100"/>
        <w:ind w:left="758" w:hanging="547"/>
        <w:rPr>
          <w:color w:val="auto"/>
        </w:rPr>
      </w:pPr>
      <w:bookmarkStart w:id="268" w:name="4.11不利物质条件"/>
      <w:bookmarkEnd w:id="268"/>
      <w:r>
        <w:rPr>
          <w:color w:val="auto"/>
        </w:rPr>
        <w:t>不利物质条件</w:t>
      </w:r>
      <w:r>
        <w:rPr>
          <w:color w:val="auto"/>
          <w:w w:val="99"/>
        </w:rPr>
        <w:t xml:space="preserve"> </w:t>
      </w:r>
    </w:p>
    <w:p>
      <w:pPr>
        <w:pStyle w:val="8"/>
        <w:spacing w:before="1"/>
        <w:rPr>
          <w:b/>
          <w:color w:val="auto"/>
          <w:sz w:val="20"/>
        </w:rPr>
      </w:pPr>
    </w:p>
    <w:p>
      <w:pPr>
        <w:pStyle w:val="8"/>
        <w:ind w:left="633"/>
        <w:rPr>
          <w:color w:val="auto"/>
        </w:rPr>
      </w:pPr>
      <w:r>
        <w:rPr>
          <w:color w:val="auto"/>
        </w:rPr>
        <w:t xml:space="preserve">采用通用合同条款该项中（B）款条文规定。 </w:t>
      </w:r>
    </w:p>
    <w:p>
      <w:pPr>
        <w:pStyle w:val="55"/>
        <w:numPr>
          <w:ilvl w:val="1"/>
          <w:numId w:val="74"/>
        </w:numPr>
        <w:tabs>
          <w:tab w:val="left" w:pos="699"/>
        </w:tabs>
        <w:spacing w:before="100"/>
        <w:ind w:hanging="487"/>
        <w:rPr>
          <w:color w:val="auto"/>
        </w:rPr>
      </w:pPr>
      <w:bookmarkStart w:id="269" w:name="4.12_进度计划"/>
      <w:bookmarkEnd w:id="269"/>
      <w:r>
        <w:rPr>
          <w:color w:val="auto"/>
        </w:rPr>
        <w:t>进度计划</w:t>
      </w:r>
      <w:r>
        <w:rPr>
          <w:color w:val="auto"/>
          <w:w w:val="99"/>
        </w:rPr>
        <w:t xml:space="preserve"> </w:t>
      </w:r>
    </w:p>
    <w:p>
      <w:pPr>
        <w:pStyle w:val="8"/>
        <w:spacing w:before="3"/>
        <w:rPr>
          <w:b/>
          <w:color w:val="auto"/>
          <w:sz w:val="20"/>
        </w:rPr>
      </w:pPr>
    </w:p>
    <w:p>
      <w:pPr>
        <w:pStyle w:val="44"/>
        <w:numPr>
          <w:ilvl w:val="2"/>
          <w:numId w:val="74"/>
        </w:numPr>
        <w:tabs>
          <w:tab w:val="left" w:pos="1268"/>
        </w:tabs>
        <w:ind w:left="1267"/>
        <w:rPr>
          <w:color w:val="auto"/>
          <w:sz w:val="21"/>
        </w:rPr>
      </w:pPr>
      <w:r>
        <w:rPr>
          <w:color w:val="auto"/>
          <w:spacing w:val="-5"/>
          <w:sz w:val="21"/>
        </w:rPr>
        <w:t xml:space="preserve">监理人批复或提出修改意见的时间：收到该提交文件后的 </w:t>
      </w:r>
      <w:r>
        <w:rPr>
          <w:color w:val="auto"/>
          <w:sz w:val="21"/>
        </w:rPr>
        <w:t>14</w:t>
      </w:r>
      <w:r>
        <w:rPr>
          <w:color w:val="auto"/>
          <w:spacing w:val="-15"/>
          <w:sz w:val="21"/>
        </w:rPr>
        <w:t xml:space="preserve"> 天内。</w:t>
      </w:r>
      <w:r>
        <w:rPr>
          <w:color w:val="auto"/>
          <w:sz w:val="21"/>
        </w:rPr>
        <w:t xml:space="preserve"> </w:t>
      </w:r>
    </w:p>
    <w:p>
      <w:pPr>
        <w:pStyle w:val="8"/>
        <w:spacing w:before="7"/>
        <w:rPr>
          <w:color w:val="auto"/>
          <w:sz w:val="15"/>
        </w:rPr>
      </w:pPr>
    </w:p>
    <w:p>
      <w:pPr>
        <w:pStyle w:val="44"/>
        <w:numPr>
          <w:ilvl w:val="2"/>
          <w:numId w:val="74"/>
        </w:numPr>
        <w:tabs>
          <w:tab w:val="left" w:pos="1268"/>
        </w:tabs>
        <w:ind w:left="1267"/>
        <w:rPr>
          <w:color w:val="auto"/>
          <w:sz w:val="21"/>
        </w:rPr>
      </w:pPr>
      <w:r>
        <w:rPr>
          <w:color w:val="auto"/>
          <w:spacing w:val="-5"/>
          <w:sz w:val="21"/>
        </w:rPr>
        <w:t xml:space="preserve">承包人向监理人提交修订合同进度计划的申请报告时间：项目工程实施的 </w:t>
      </w:r>
      <w:r>
        <w:rPr>
          <w:color w:val="auto"/>
          <w:sz w:val="21"/>
        </w:rPr>
        <w:t>21</w:t>
      </w:r>
      <w:r>
        <w:rPr>
          <w:color w:val="auto"/>
          <w:spacing w:val="-15"/>
          <w:sz w:val="21"/>
        </w:rPr>
        <w:t xml:space="preserve"> 天前。</w:t>
      </w:r>
      <w:r>
        <w:rPr>
          <w:color w:val="auto"/>
          <w:sz w:val="21"/>
        </w:rPr>
        <w:t xml:space="preserve"> </w:t>
      </w:r>
    </w:p>
    <w:p>
      <w:pPr>
        <w:pStyle w:val="8"/>
        <w:spacing w:before="7"/>
        <w:rPr>
          <w:color w:val="auto"/>
          <w:sz w:val="15"/>
        </w:rPr>
      </w:pPr>
    </w:p>
    <w:p>
      <w:pPr>
        <w:pStyle w:val="8"/>
        <w:ind w:left="212"/>
        <w:rPr>
          <w:color w:val="auto"/>
        </w:rPr>
      </w:pPr>
      <w:r>
        <w:rPr>
          <w:color w:val="auto"/>
        </w:rPr>
        <w:t xml:space="preserve">监理人作出批复的时间：收到该提交文件后的 14 天内。 </w:t>
      </w:r>
    </w:p>
    <w:p>
      <w:pPr>
        <w:rPr>
          <w:color w:val="auto"/>
        </w:rPr>
        <w:sectPr>
          <w:pgSz w:w="11910" w:h="16840"/>
          <w:pgMar w:top="1560" w:right="700" w:bottom="1180" w:left="920" w:header="0" w:footer="995" w:gutter="0"/>
          <w:pgNumType w:fmt="decimal"/>
          <w:cols w:space="720" w:num="1"/>
        </w:sectPr>
      </w:pPr>
    </w:p>
    <w:p>
      <w:pPr>
        <w:pStyle w:val="8"/>
        <w:spacing w:before="45"/>
        <w:ind w:left="633"/>
        <w:rPr>
          <w:color w:val="auto"/>
        </w:rPr>
      </w:pPr>
      <w:r>
        <w:rPr>
          <w:color w:val="auto"/>
        </w:rPr>
        <w:t xml:space="preserve"> </w:t>
      </w:r>
    </w:p>
    <w:p>
      <w:pPr>
        <w:pStyle w:val="55"/>
        <w:spacing w:before="100"/>
        <w:ind w:left="212" w:firstLine="0"/>
        <w:rPr>
          <w:color w:val="auto"/>
        </w:rPr>
      </w:pPr>
      <w:bookmarkStart w:id="270" w:name="6__材料和工程设备"/>
      <w:bookmarkEnd w:id="270"/>
      <w:r>
        <w:rPr>
          <w:color w:val="auto"/>
        </w:rPr>
        <w:t>6 材料和工程设备</w:t>
      </w:r>
      <w:r>
        <w:rPr>
          <w:color w:val="auto"/>
          <w:w w:val="99"/>
        </w:rPr>
        <w:t xml:space="preserve"> </w:t>
      </w:r>
    </w:p>
    <w:p>
      <w:pPr>
        <w:spacing w:before="158"/>
        <w:ind w:left="212"/>
        <w:rPr>
          <w:b/>
          <w:color w:val="auto"/>
          <w:sz w:val="24"/>
        </w:rPr>
      </w:pPr>
      <w:bookmarkStart w:id="271" w:name="6.1_承包人提供的材料和工程设备"/>
      <w:bookmarkEnd w:id="271"/>
      <w:r>
        <w:rPr>
          <w:b/>
          <w:color w:val="auto"/>
          <w:sz w:val="24"/>
        </w:rPr>
        <w:t>6.1 承包人提供的材料和工程设备</w:t>
      </w:r>
      <w:r>
        <w:rPr>
          <w:b/>
          <w:color w:val="auto"/>
          <w:w w:val="99"/>
          <w:sz w:val="24"/>
        </w:rPr>
        <w:t xml:space="preserve"> </w:t>
      </w:r>
    </w:p>
    <w:p>
      <w:pPr>
        <w:pStyle w:val="8"/>
        <w:spacing w:before="3"/>
        <w:rPr>
          <w:b/>
          <w:color w:val="auto"/>
          <w:sz w:val="20"/>
        </w:rPr>
      </w:pPr>
    </w:p>
    <w:p>
      <w:pPr>
        <w:pStyle w:val="8"/>
        <w:spacing w:before="1" w:line="417" w:lineRule="auto"/>
        <w:ind w:left="212" w:right="428" w:firstLine="420"/>
        <w:rPr>
          <w:color w:val="auto"/>
        </w:rPr>
      </w:pPr>
      <w:r>
        <w:rPr>
          <w:color w:val="auto"/>
        </w:rPr>
        <w:t>61.1</w:t>
      </w:r>
      <w:r>
        <w:rPr>
          <w:color w:val="auto"/>
          <w:spacing w:val="-12"/>
        </w:rPr>
        <w:t xml:space="preserve"> 删除通用合同条款 </w:t>
      </w:r>
      <w:r>
        <w:rPr>
          <w:color w:val="auto"/>
        </w:rPr>
        <w:t>6.1.1</w:t>
      </w:r>
      <w:r>
        <w:rPr>
          <w:color w:val="auto"/>
          <w:spacing w:val="-13"/>
        </w:rPr>
        <w:t xml:space="preserve"> 条全文，并以下文代替：为完成本合同各项工作所需的材料和工程设备</w:t>
      </w:r>
      <w:r>
        <w:rPr>
          <w:color w:val="auto"/>
          <w:spacing w:val="-6"/>
        </w:rPr>
        <w:t>均由承包人负责采购、验收、运输和保管。承包人应对其采购的材料和设备负责。</w:t>
      </w:r>
      <w:r>
        <w:rPr>
          <w:color w:val="auto"/>
        </w:rPr>
        <w:t xml:space="preserve"> </w:t>
      </w:r>
    </w:p>
    <w:p>
      <w:pPr>
        <w:pStyle w:val="8"/>
        <w:spacing w:line="417" w:lineRule="auto"/>
        <w:ind w:left="212" w:right="426" w:firstLine="420"/>
        <w:rPr>
          <w:color w:val="auto"/>
        </w:rPr>
      </w:pPr>
      <w:r>
        <w:rPr>
          <w:color w:val="auto"/>
        </w:rPr>
        <w:t>6.1.2</w:t>
      </w:r>
      <w:r>
        <w:rPr>
          <w:color w:val="auto"/>
          <w:spacing w:val="-10"/>
        </w:rPr>
        <w:t xml:space="preserve"> 删除通用合同条款 </w:t>
      </w:r>
      <w:r>
        <w:rPr>
          <w:color w:val="auto"/>
        </w:rPr>
        <w:t>6.1.2</w:t>
      </w:r>
      <w:r>
        <w:rPr>
          <w:color w:val="auto"/>
          <w:spacing w:val="-7"/>
        </w:rPr>
        <w:t xml:space="preserve"> 条全文，并以下文代替：承包人应将各项材料和工程设备的供货人及品种、规格、数量和供货时间等报送监理人审批。承包人应向监理人提交其负责提供的材料和工程设备的</w:t>
      </w:r>
    </w:p>
    <w:p>
      <w:pPr>
        <w:pStyle w:val="8"/>
        <w:spacing w:line="269" w:lineRule="exact"/>
        <w:ind w:left="212"/>
        <w:rPr>
          <w:color w:val="auto"/>
        </w:rPr>
      </w:pPr>
      <w:r>
        <w:rPr>
          <w:color w:val="auto"/>
        </w:rPr>
        <w:t xml:space="preserve">质量证明文件，并满足合同约定的质量标准。 </w:t>
      </w:r>
    </w:p>
    <w:p>
      <w:pPr>
        <w:pStyle w:val="55"/>
        <w:spacing w:before="99"/>
        <w:ind w:left="212" w:firstLine="0"/>
        <w:rPr>
          <w:color w:val="auto"/>
        </w:rPr>
      </w:pPr>
      <w:bookmarkStart w:id="272" w:name="6.2发包人提供的材料和工程设备"/>
      <w:bookmarkEnd w:id="272"/>
      <w:r>
        <w:rPr>
          <w:color w:val="auto"/>
        </w:rPr>
        <w:t>6.2 发包人提供的材料和工程设备</w:t>
      </w:r>
      <w:r>
        <w:rPr>
          <w:color w:val="auto"/>
          <w:w w:val="99"/>
        </w:rPr>
        <w:t xml:space="preserve"> </w:t>
      </w:r>
    </w:p>
    <w:p>
      <w:pPr>
        <w:pStyle w:val="8"/>
        <w:spacing w:before="1"/>
        <w:rPr>
          <w:b/>
          <w:color w:val="auto"/>
          <w:sz w:val="20"/>
        </w:rPr>
      </w:pPr>
    </w:p>
    <w:p>
      <w:pPr>
        <w:pStyle w:val="8"/>
        <w:spacing w:before="1"/>
        <w:ind w:left="633"/>
        <w:rPr>
          <w:color w:val="auto"/>
        </w:rPr>
      </w:pPr>
      <w:r>
        <w:rPr>
          <w:color w:val="auto"/>
        </w:rPr>
        <w:t xml:space="preserve">采用通用合同条款该项中（B）款条文规定。 </w:t>
      </w:r>
    </w:p>
    <w:p>
      <w:pPr>
        <w:pStyle w:val="8"/>
        <w:spacing w:before="6"/>
        <w:rPr>
          <w:color w:val="auto"/>
          <w:sz w:val="15"/>
        </w:rPr>
      </w:pPr>
    </w:p>
    <w:p>
      <w:pPr>
        <w:pStyle w:val="8"/>
        <w:ind w:left="212"/>
        <w:rPr>
          <w:color w:val="auto"/>
        </w:rPr>
      </w:pPr>
      <w:r>
        <w:rPr>
          <w:color w:val="auto"/>
        </w:rPr>
        <w:t xml:space="preserve"> </w:t>
      </w:r>
    </w:p>
    <w:p>
      <w:pPr>
        <w:pStyle w:val="55"/>
        <w:spacing w:before="100"/>
        <w:ind w:left="212" w:firstLine="0"/>
        <w:rPr>
          <w:color w:val="auto"/>
        </w:rPr>
      </w:pPr>
      <w:bookmarkStart w:id="273" w:name="7__施工设备和临时设施"/>
      <w:bookmarkEnd w:id="273"/>
      <w:r>
        <w:rPr>
          <w:color w:val="auto"/>
        </w:rPr>
        <w:t>7 施工设备和临时设施</w:t>
      </w:r>
      <w:r>
        <w:rPr>
          <w:color w:val="auto"/>
          <w:w w:val="99"/>
        </w:rPr>
        <w:t xml:space="preserve"> </w:t>
      </w:r>
    </w:p>
    <w:p>
      <w:pPr>
        <w:spacing w:before="160"/>
        <w:ind w:left="212"/>
        <w:rPr>
          <w:b/>
          <w:color w:val="auto"/>
          <w:sz w:val="24"/>
        </w:rPr>
      </w:pPr>
      <w:bookmarkStart w:id="274" w:name="7.2发包人提供的施工设备和临时设施"/>
      <w:bookmarkEnd w:id="274"/>
      <w:r>
        <w:rPr>
          <w:b/>
          <w:color w:val="auto"/>
          <w:sz w:val="24"/>
        </w:rPr>
        <w:t>7.2 发包人提供的施工设备和临时设施</w:t>
      </w:r>
      <w:r>
        <w:rPr>
          <w:b/>
          <w:color w:val="auto"/>
          <w:w w:val="99"/>
          <w:sz w:val="24"/>
        </w:rPr>
        <w:t xml:space="preserve"> </w:t>
      </w:r>
    </w:p>
    <w:p>
      <w:pPr>
        <w:pStyle w:val="8"/>
        <w:spacing w:before="4"/>
        <w:rPr>
          <w:b/>
          <w:color w:val="auto"/>
          <w:sz w:val="20"/>
        </w:rPr>
      </w:pPr>
    </w:p>
    <w:p>
      <w:pPr>
        <w:pStyle w:val="8"/>
        <w:ind w:left="633"/>
        <w:rPr>
          <w:color w:val="auto"/>
        </w:rPr>
      </w:pPr>
      <w:r>
        <w:rPr>
          <w:color w:val="auto"/>
        </w:rPr>
        <w:t xml:space="preserve">采用通用合同条款该项中（B）款条文规定。 </w:t>
      </w:r>
    </w:p>
    <w:p>
      <w:pPr>
        <w:pStyle w:val="8"/>
        <w:spacing w:before="7"/>
        <w:rPr>
          <w:color w:val="auto"/>
          <w:sz w:val="15"/>
        </w:rPr>
      </w:pPr>
    </w:p>
    <w:p>
      <w:pPr>
        <w:pStyle w:val="8"/>
        <w:ind w:left="633"/>
        <w:rPr>
          <w:color w:val="auto"/>
        </w:rPr>
      </w:pPr>
      <w:r>
        <w:rPr>
          <w:color w:val="auto"/>
        </w:rPr>
        <w:t xml:space="preserve"> </w:t>
      </w:r>
    </w:p>
    <w:p>
      <w:pPr>
        <w:pStyle w:val="55"/>
        <w:spacing w:before="99"/>
        <w:ind w:left="212" w:firstLine="0"/>
        <w:rPr>
          <w:color w:val="auto"/>
        </w:rPr>
      </w:pPr>
      <w:bookmarkStart w:id="275" w:name="8__交通运输"/>
      <w:bookmarkEnd w:id="275"/>
      <w:r>
        <w:rPr>
          <w:color w:val="auto"/>
        </w:rPr>
        <w:t>8 交通运输</w:t>
      </w:r>
      <w:r>
        <w:rPr>
          <w:color w:val="auto"/>
          <w:w w:val="99"/>
        </w:rPr>
        <w:t xml:space="preserve"> </w:t>
      </w:r>
    </w:p>
    <w:p>
      <w:pPr>
        <w:spacing w:before="159"/>
        <w:ind w:left="212"/>
        <w:rPr>
          <w:b/>
          <w:color w:val="auto"/>
          <w:sz w:val="24"/>
        </w:rPr>
      </w:pPr>
      <w:bookmarkStart w:id="276" w:name="8.1道路通行权和场外设施"/>
      <w:bookmarkEnd w:id="276"/>
      <w:r>
        <w:rPr>
          <w:b/>
          <w:color w:val="auto"/>
          <w:sz w:val="24"/>
        </w:rPr>
        <w:t>8.1 道路通行权和场外设施</w:t>
      </w:r>
      <w:r>
        <w:rPr>
          <w:b/>
          <w:color w:val="auto"/>
          <w:w w:val="99"/>
          <w:sz w:val="24"/>
        </w:rPr>
        <w:t xml:space="preserve"> </w:t>
      </w:r>
    </w:p>
    <w:p>
      <w:pPr>
        <w:pStyle w:val="8"/>
        <w:spacing w:before="3"/>
        <w:rPr>
          <w:b/>
          <w:color w:val="auto"/>
          <w:sz w:val="20"/>
        </w:rPr>
      </w:pPr>
    </w:p>
    <w:p>
      <w:pPr>
        <w:pStyle w:val="8"/>
        <w:spacing w:before="1"/>
        <w:ind w:left="633"/>
        <w:rPr>
          <w:color w:val="auto"/>
        </w:rPr>
      </w:pPr>
      <w:r>
        <w:rPr>
          <w:color w:val="auto"/>
        </w:rPr>
        <w:t xml:space="preserve">采用通用合同条款该项中（B）款条文规定。 </w:t>
      </w:r>
    </w:p>
    <w:p>
      <w:pPr>
        <w:pStyle w:val="8"/>
        <w:spacing w:before="6"/>
        <w:rPr>
          <w:color w:val="auto"/>
          <w:sz w:val="15"/>
        </w:rPr>
      </w:pPr>
    </w:p>
    <w:p>
      <w:pPr>
        <w:pStyle w:val="8"/>
        <w:ind w:left="633"/>
        <w:rPr>
          <w:color w:val="auto"/>
        </w:rPr>
      </w:pPr>
      <w:r>
        <w:rPr>
          <w:color w:val="auto"/>
        </w:rPr>
        <w:t xml:space="preserve"> </w:t>
      </w:r>
    </w:p>
    <w:p>
      <w:pPr>
        <w:pStyle w:val="55"/>
        <w:spacing w:before="100"/>
        <w:ind w:left="212" w:firstLine="0"/>
        <w:rPr>
          <w:color w:val="auto"/>
        </w:rPr>
      </w:pPr>
      <w:bookmarkStart w:id="277" w:name="9__测量放线"/>
      <w:bookmarkEnd w:id="277"/>
      <w:r>
        <w:rPr>
          <w:color w:val="auto"/>
        </w:rPr>
        <w:t>9 测量放线</w:t>
      </w:r>
      <w:r>
        <w:rPr>
          <w:color w:val="auto"/>
          <w:w w:val="99"/>
        </w:rPr>
        <w:t xml:space="preserve"> </w:t>
      </w:r>
    </w:p>
    <w:p>
      <w:pPr>
        <w:pStyle w:val="44"/>
        <w:numPr>
          <w:ilvl w:val="1"/>
          <w:numId w:val="75"/>
        </w:numPr>
        <w:tabs>
          <w:tab w:val="left" w:pos="639"/>
        </w:tabs>
        <w:spacing w:before="158"/>
        <w:ind w:hanging="427"/>
        <w:rPr>
          <w:b/>
          <w:color w:val="auto"/>
          <w:sz w:val="24"/>
        </w:rPr>
      </w:pPr>
      <w:bookmarkStart w:id="278" w:name="9.1施工控制网"/>
      <w:bookmarkEnd w:id="278"/>
      <w:r>
        <w:rPr>
          <w:b/>
          <w:color w:val="auto"/>
          <w:sz w:val="24"/>
        </w:rPr>
        <w:t>施工控制网</w:t>
      </w:r>
      <w:r>
        <w:rPr>
          <w:b/>
          <w:color w:val="auto"/>
          <w:w w:val="99"/>
          <w:sz w:val="24"/>
        </w:rPr>
        <w:t xml:space="preserve"> </w:t>
      </w:r>
    </w:p>
    <w:p>
      <w:pPr>
        <w:pStyle w:val="8"/>
        <w:spacing w:before="3"/>
        <w:rPr>
          <w:b/>
          <w:color w:val="auto"/>
          <w:sz w:val="20"/>
        </w:rPr>
      </w:pPr>
    </w:p>
    <w:p>
      <w:pPr>
        <w:pStyle w:val="44"/>
        <w:numPr>
          <w:ilvl w:val="2"/>
          <w:numId w:val="75"/>
        </w:numPr>
        <w:tabs>
          <w:tab w:val="left" w:pos="1163"/>
        </w:tabs>
        <w:spacing w:before="1"/>
        <w:ind w:hanging="530"/>
        <w:rPr>
          <w:color w:val="auto"/>
          <w:sz w:val="21"/>
        </w:rPr>
      </w:pPr>
      <w:r>
        <w:rPr>
          <w:color w:val="auto"/>
          <w:spacing w:val="-3"/>
          <w:sz w:val="21"/>
        </w:rPr>
        <w:t>施工控制网由承包人负责测设，由监理人进行现场复核。</w:t>
      </w:r>
      <w:r>
        <w:rPr>
          <w:color w:val="auto"/>
          <w:sz w:val="21"/>
        </w:rPr>
        <w:t xml:space="preserve"> </w:t>
      </w:r>
    </w:p>
    <w:p>
      <w:pPr>
        <w:pStyle w:val="8"/>
        <w:spacing w:before="6"/>
        <w:rPr>
          <w:color w:val="auto"/>
          <w:sz w:val="15"/>
        </w:rPr>
      </w:pPr>
    </w:p>
    <w:p>
      <w:pPr>
        <w:pStyle w:val="44"/>
        <w:numPr>
          <w:ilvl w:val="2"/>
          <w:numId w:val="75"/>
        </w:numPr>
        <w:tabs>
          <w:tab w:val="left" w:pos="1163"/>
        </w:tabs>
        <w:spacing w:line="417" w:lineRule="auto"/>
        <w:ind w:left="212" w:right="426" w:firstLine="420"/>
        <w:rPr>
          <w:color w:val="auto"/>
          <w:sz w:val="21"/>
        </w:rPr>
      </w:pPr>
      <w:r>
        <w:rPr>
          <w:color w:val="auto"/>
          <w:spacing w:val="-6"/>
          <w:sz w:val="21"/>
        </w:rPr>
        <w:t>承包人应负责管理施工控制网点。施工控制网点丢失或损坏的，承包人应及时修复。承包人应</w:t>
      </w:r>
      <w:r>
        <w:rPr>
          <w:color w:val="auto"/>
          <w:spacing w:val="-4"/>
          <w:sz w:val="21"/>
        </w:rPr>
        <w:t xml:space="preserve">承担施工控制网点的管理与修复费用，并在工程竣工后将施工控制网点移交发包人。 </w:t>
      </w:r>
    </w:p>
    <w:p>
      <w:pPr>
        <w:pStyle w:val="8"/>
        <w:spacing w:before="1"/>
        <w:ind w:left="633"/>
        <w:rPr>
          <w:color w:val="auto"/>
        </w:rPr>
      </w:pPr>
      <w:r>
        <w:rPr>
          <w:color w:val="auto"/>
        </w:rPr>
        <w:t xml:space="preserve"> </w:t>
      </w:r>
    </w:p>
    <w:p>
      <w:pPr>
        <w:pStyle w:val="55"/>
        <w:spacing w:before="99"/>
        <w:ind w:left="212" w:firstLine="0"/>
        <w:rPr>
          <w:color w:val="auto"/>
        </w:rPr>
      </w:pPr>
      <w:bookmarkStart w:id="279" w:name="10__施工安全、治安保卫和环境保护"/>
      <w:bookmarkEnd w:id="279"/>
      <w:r>
        <w:rPr>
          <w:color w:val="auto"/>
        </w:rPr>
        <w:t>10 施工安全、治安保卫和环境保护</w:t>
      </w:r>
      <w:r>
        <w:rPr>
          <w:color w:val="auto"/>
          <w:w w:val="99"/>
        </w:rPr>
        <w:t xml:space="preserve"> </w:t>
      </w:r>
    </w:p>
    <w:p>
      <w:pPr>
        <w:pStyle w:val="44"/>
        <w:numPr>
          <w:ilvl w:val="1"/>
          <w:numId w:val="76"/>
        </w:numPr>
        <w:tabs>
          <w:tab w:val="left" w:pos="759"/>
        </w:tabs>
        <w:spacing w:before="158"/>
        <w:ind w:hanging="547"/>
        <w:rPr>
          <w:b/>
          <w:color w:val="auto"/>
          <w:sz w:val="24"/>
        </w:rPr>
      </w:pPr>
      <w:bookmarkStart w:id="280" w:name="10.1发包人的施工安全责任"/>
      <w:bookmarkEnd w:id="280"/>
      <w:r>
        <w:rPr>
          <w:b/>
          <w:color w:val="auto"/>
          <w:sz w:val="24"/>
        </w:rPr>
        <w:t>发包人的施工安全责任</w:t>
      </w:r>
      <w:r>
        <w:rPr>
          <w:b/>
          <w:color w:val="auto"/>
          <w:w w:val="99"/>
          <w:sz w:val="24"/>
        </w:rPr>
        <w:t xml:space="preserve"> </w:t>
      </w:r>
    </w:p>
    <w:p>
      <w:pPr>
        <w:pStyle w:val="8"/>
        <w:spacing w:before="4"/>
        <w:rPr>
          <w:b/>
          <w:color w:val="auto"/>
          <w:sz w:val="20"/>
        </w:rPr>
      </w:pPr>
    </w:p>
    <w:p>
      <w:pPr>
        <w:pStyle w:val="8"/>
        <w:ind w:left="633"/>
        <w:rPr>
          <w:color w:val="auto"/>
        </w:rPr>
      </w:pPr>
      <w:r>
        <w:rPr>
          <w:color w:val="auto"/>
        </w:rPr>
        <w:t xml:space="preserve">10.1.4 本合同工程发包人不提供任何与安全有关的资料，所有资料均由承包人负责收集。 </w:t>
      </w:r>
    </w:p>
    <w:p>
      <w:pPr>
        <w:rPr>
          <w:color w:val="auto"/>
        </w:rPr>
        <w:sectPr>
          <w:pgSz w:w="11910" w:h="16840"/>
          <w:pgMar w:top="1560" w:right="700" w:bottom="1180" w:left="920" w:header="0" w:footer="995" w:gutter="0"/>
          <w:pgNumType w:fmt="decimal"/>
          <w:cols w:space="720" w:num="1"/>
        </w:sectPr>
      </w:pPr>
    </w:p>
    <w:p>
      <w:pPr>
        <w:pStyle w:val="55"/>
        <w:numPr>
          <w:ilvl w:val="1"/>
          <w:numId w:val="76"/>
        </w:numPr>
        <w:tabs>
          <w:tab w:val="left" w:pos="759"/>
        </w:tabs>
        <w:spacing w:before="45"/>
        <w:ind w:hanging="547"/>
        <w:rPr>
          <w:color w:val="auto"/>
        </w:rPr>
      </w:pPr>
      <w:bookmarkStart w:id="281" w:name="10.2承包人的施工安全责任"/>
      <w:bookmarkEnd w:id="281"/>
      <w:r>
        <w:rPr>
          <w:color w:val="auto"/>
        </w:rPr>
        <w:t>承包人的施工安全责任</w:t>
      </w:r>
      <w:r>
        <w:rPr>
          <w:color w:val="auto"/>
          <w:w w:val="99"/>
        </w:rPr>
        <w:t xml:space="preserve"> </w:t>
      </w:r>
    </w:p>
    <w:p>
      <w:pPr>
        <w:pStyle w:val="8"/>
        <w:spacing w:before="2"/>
        <w:rPr>
          <w:b/>
          <w:color w:val="auto"/>
          <w:sz w:val="20"/>
        </w:rPr>
      </w:pPr>
    </w:p>
    <w:p>
      <w:pPr>
        <w:pStyle w:val="44"/>
        <w:numPr>
          <w:ilvl w:val="2"/>
          <w:numId w:val="76"/>
        </w:numPr>
        <w:tabs>
          <w:tab w:val="left" w:pos="1268"/>
        </w:tabs>
        <w:rPr>
          <w:color w:val="auto"/>
          <w:sz w:val="21"/>
        </w:rPr>
      </w:pPr>
      <w:r>
        <w:rPr>
          <w:color w:val="auto"/>
          <w:spacing w:val="-6"/>
          <w:sz w:val="21"/>
        </w:rPr>
        <w:t xml:space="preserve">承包人报送审批安全工作内容的时间：工程实施 </w:t>
      </w:r>
      <w:r>
        <w:rPr>
          <w:color w:val="auto"/>
          <w:sz w:val="21"/>
        </w:rPr>
        <w:t>14</w:t>
      </w:r>
      <w:r>
        <w:rPr>
          <w:color w:val="auto"/>
          <w:spacing w:val="-16"/>
          <w:sz w:val="21"/>
        </w:rPr>
        <w:t xml:space="preserve"> 天前。</w:t>
      </w:r>
      <w:r>
        <w:rPr>
          <w:color w:val="auto"/>
          <w:sz w:val="21"/>
        </w:rPr>
        <w:t xml:space="preserve"> </w:t>
      </w:r>
    </w:p>
    <w:p>
      <w:pPr>
        <w:pStyle w:val="55"/>
        <w:numPr>
          <w:ilvl w:val="1"/>
          <w:numId w:val="77"/>
        </w:numPr>
        <w:tabs>
          <w:tab w:val="left" w:pos="759"/>
        </w:tabs>
        <w:spacing w:before="99"/>
        <w:ind w:hanging="547"/>
        <w:rPr>
          <w:color w:val="auto"/>
        </w:rPr>
      </w:pPr>
      <w:bookmarkStart w:id="282" w:name="10.6文明工地（补充）"/>
      <w:bookmarkEnd w:id="282"/>
      <w:r>
        <w:rPr>
          <w:color w:val="auto"/>
        </w:rPr>
        <w:t>文明工地（补充）</w:t>
      </w:r>
      <w:r>
        <w:rPr>
          <w:color w:val="auto"/>
          <w:w w:val="99"/>
        </w:rPr>
        <w:t xml:space="preserve"> </w:t>
      </w:r>
    </w:p>
    <w:p>
      <w:pPr>
        <w:pStyle w:val="8"/>
        <w:spacing w:before="4"/>
        <w:rPr>
          <w:b/>
          <w:color w:val="auto"/>
          <w:sz w:val="20"/>
        </w:rPr>
      </w:pPr>
    </w:p>
    <w:p>
      <w:pPr>
        <w:pStyle w:val="44"/>
        <w:numPr>
          <w:ilvl w:val="2"/>
          <w:numId w:val="77"/>
        </w:numPr>
        <w:tabs>
          <w:tab w:val="left" w:pos="1268"/>
        </w:tabs>
        <w:rPr>
          <w:color w:val="auto"/>
          <w:sz w:val="21"/>
        </w:rPr>
      </w:pPr>
      <w:r>
        <w:rPr>
          <w:color w:val="auto"/>
          <w:spacing w:val="-3"/>
          <w:sz w:val="21"/>
        </w:rPr>
        <w:t>本合同文明工地的约定：</w:t>
      </w:r>
      <w:r>
        <w:rPr>
          <w:color w:val="auto"/>
          <w:sz w:val="21"/>
        </w:rPr>
        <w:t xml:space="preserve"> </w:t>
      </w:r>
    </w:p>
    <w:p>
      <w:pPr>
        <w:pStyle w:val="8"/>
        <w:spacing w:before="7"/>
        <w:rPr>
          <w:color w:val="auto"/>
          <w:sz w:val="15"/>
        </w:rPr>
      </w:pPr>
    </w:p>
    <w:p>
      <w:pPr>
        <w:pStyle w:val="44"/>
        <w:numPr>
          <w:ilvl w:val="0"/>
          <w:numId w:val="78"/>
        </w:numPr>
        <w:tabs>
          <w:tab w:val="left" w:pos="1165"/>
        </w:tabs>
        <w:spacing w:line="417" w:lineRule="auto"/>
        <w:ind w:right="436" w:firstLine="420"/>
        <w:rPr>
          <w:color w:val="auto"/>
          <w:sz w:val="21"/>
        </w:rPr>
      </w:pPr>
      <w:r>
        <w:rPr>
          <w:color w:val="auto"/>
          <w:spacing w:val="-1"/>
          <w:sz w:val="21"/>
        </w:rPr>
        <w:t>承包人驻地建设整齐、规范、统一，区域内清洁卫生、秩序井然；各类上墙图表清晰美观；对</w:t>
      </w:r>
      <w:r>
        <w:rPr>
          <w:color w:val="auto"/>
          <w:spacing w:val="-3"/>
          <w:sz w:val="21"/>
        </w:rPr>
        <w:t xml:space="preserve">拌和场设置专门的宣传栏。 </w:t>
      </w:r>
    </w:p>
    <w:p>
      <w:pPr>
        <w:pStyle w:val="44"/>
        <w:numPr>
          <w:ilvl w:val="0"/>
          <w:numId w:val="78"/>
        </w:numPr>
        <w:tabs>
          <w:tab w:val="left" w:pos="1163"/>
        </w:tabs>
        <w:spacing w:line="269" w:lineRule="exact"/>
        <w:ind w:left="1162" w:hanging="530"/>
        <w:rPr>
          <w:color w:val="auto"/>
          <w:sz w:val="21"/>
        </w:rPr>
      </w:pPr>
      <w:r>
        <w:rPr>
          <w:color w:val="auto"/>
          <w:spacing w:val="-3"/>
          <w:sz w:val="21"/>
        </w:rPr>
        <w:t>施工现场设置合同工程标志牌。</w:t>
      </w:r>
      <w:r>
        <w:rPr>
          <w:color w:val="auto"/>
          <w:sz w:val="21"/>
        </w:rPr>
        <w:t xml:space="preserve"> </w:t>
      </w:r>
    </w:p>
    <w:p>
      <w:pPr>
        <w:pStyle w:val="8"/>
        <w:spacing w:before="7"/>
        <w:rPr>
          <w:color w:val="auto"/>
          <w:sz w:val="15"/>
        </w:rPr>
      </w:pPr>
    </w:p>
    <w:p>
      <w:pPr>
        <w:pStyle w:val="44"/>
        <w:numPr>
          <w:ilvl w:val="0"/>
          <w:numId w:val="78"/>
        </w:numPr>
        <w:tabs>
          <w:tab w:val="left" w:pos="1165"/>
        </w:tabs>
        <w:spacing w:line="417" w:lineRule="auto"/>
        <w:ind w:right="427" w:firstLine="420"/>
        <w:jc w:val="both"/>
        <w:rPr>
          <w:color w:val="auto"/>
          <w:sz w:val="21"/>
        </w:rPr>
      </w:pPr>
      <w:r>
        <w:rPr>
          <w:color w:val="auto"/>
          <w:sz w:val="21"/>
        </w:rPr>
        <w:t>施工实行秩序化、标准化、规范化管理，落实岗位责任制，作业面人员、施工设备各行其是、</w:t>
      </w:r>
      <w:r>
        <w:rPr>
          <w:color w:val="auto"/>
          <w:spacing w:val="-5"/>
          <w:sz w:val="21"/>
        </w:rPr>
        <w:t>有条不紊，工序流畅、配合协调；施工人员现场施工时应统一着装、佩带标志牌且标识醒目，安全防护设</w:t>
      </w:r>
      <w:r>
        <w:rPr>
          <w:color w:val="auto"/>
          <w:spacing w:val="-4"/>
          <w:sz w:val="21"/>
        </w:rPr>
        <w:t xml:space="preserve">施佩戴齐全，作业操作规范、熟练。 </w:t>
      </w:r>
    </w:p>
    <w:p>
      <w:pPr>
        <w:pStyle w:val="44"/>
        <w:numPr>
          <w:ilvl w:val="0"/>
          <w:numId w:val="78"/>
        </w:numPr>
        <w:tabs>
          <w:tab w:val="left" w:pos="1165"/>
        </w:tabs>
        <w:spacing w:line="417" w:lineRule="auto"/>
        <w:ind w:right="436" w:firstLine="420"/>
        <w:rPr>
          <w:color w:val="auto"/>
          <w:sz w:val="21"/>
        </w:rPr>
      </w:pPr>
      <w:r>
        <w:rPr>
          <w:color w:val="auto"/>
          <w:spacing w:val="-1"/>
          <w:sz w:val="21"/>
        </w:rPr>
        <w:t>施工现场清洁整齐、规范有序，各种材料分仓堆放有序、标识清晰，施工设备合理定置，无乱</w:t>
      </w:r>
      <w:r>
        <w:rPr>
          <w:color w:val="auto"/>
          <w:spacing w:val="-3"/>
          <w:sz w:val="21"/>
        </w:rPr>
        <w:t xml:space="preserve">堆乱弃、乱停乱放现象。施工便道平整、不积水，施工便道避免在重要构造物施工场地内穿行。 </w:t>
      </w:r>
    </w:p>
    <w:p>
      <w:pPr>
        <w:pStyle w:val="44"/>
        <w:numPr>
          <w:ilvl w:val="0"/>
          <w:numId w:val="78"/>
        </w:numPr>
        <w:tabs>
          <w:tab w:val="left" w:pos="1165"/>
        </w:tabs>
        <w:spacing w:line="417" w:lineRule="auto"/>
        <w:ind w:right="431" w:firstLine="420"/>
        <w:rPr>
          <w:color w:val="auto"/>
          <w:sz w:val="21"/>
        </w:rPr>
      </w:pPr>
      <w:r>
        <w:rPr>
          <w:color w:val="auto"/>
          <w:spacing w:val="-1"/>
          <w:sz w:val="21"/>
        </w:rPr>
        <w:t>协调好施工工作与当地政府及村民的关系，尽量避免发生冲突，做到与地方和谐相容，睦邻友</w:t>
      </w:r>
      <w:r>
        <w:rPr>
          <w:color w:val="auto"/>
          <w:sz w:val="21"/>
        </w:rPr>
        <w:t xml:space="preserve">好。 </w:t>
      </w:r>
    </w:p>
    <w:p>
      <w:pPr>
        <w:pStyle w:val="8"/>
        <w:spacing w:line="417" w:lineRule="auto"/>
        <w:ind w:left="212" w:right="426" w:firstLine="420"/>
        <w:rPr>
          <w:color w:val="auto"/>
        </w:rPr>
      </w:pPr>
      <w:r>
        <w:rPr>
          <w:color w:val="auto"/>
          <w:spacing w:val="-5"/>
        </w:rPr>
        <w:t>承包人为达到上述要求而需支出的一切费用均已包含在合同价中，发包人不另行支付。监理人将不定</w:t>
      </w:r>
      <w:r>
        <w:rPr>
          <w:color w:val="auto"/>
          <w:spacing w:val="-6"/>
        </w:rPr>
        <w:t xml:space="preserve">期对此进行检查，每发现不符合上述要求的，将给予 </w:t>
      </w:r>
      <w:r>
        <w:rPr>
          <w:color w:val="auto"/>
        </w:rPr>
        <w:t>1</w:t>
      </w:r>
      <w:r>
        <w:rPr>
          <w:color w:val="auto"/>
          <w:spacing w:val="-26"/>
        </w:rPr>
        <w:t xml:space="preserve"> 万</w:t>
      </w:r>
      <w:r>
        <w:rPr>
          <w:color w:val="auto"/>
        </w:rPr>
        <w:t>/</w:t>
      </w:r>
      <w:r>
        <w:rPr>
          <w:color w:val="auto"/>
          <w:spacing w:val="-3"/>
        </w:rPr>
        <w:t>处的罚款。</w:t>
      </w:r>
      <w:r>
        <w:rPr>
          <w:color w:val="auto"/>
        </w:rPr>
        <w:t xml:space="preserve"> </w:t>
      </w:r>
    </w:p>
    <w:p>
      <w:pPr>
        <w:pStyle w:val="8"/>
        <w:ind w:left="633"/>
        <w:rPr>
          <w:color w:val="auto"/>
        </w:rPr>
      </w:pPr>
      <w:r>
        <w:rPr>
          <w:color w:val="auto"/>
        </w:rPr>
        <w:t xml:space="preserve"> </w:t>
      </w:r>
    </w:p>
    <w:p>
      <w:pPr>
        <w:pStyle w:val="55"/>
        <w:spacing w:before="99"/>
        <w:ind w:left="212" w:firstLine="0"/>
        <w:rPr>
          <w:color w:val="auto"/>
        </w:rPr>
      </w:pPr>
      <w:bookmarkStart w:id="283" w:name="11__开始工作和竣工"/>
      <w:bookmarkEnd w:id="283"/>
      <w:r>
        <w:rPr>
          <w:color w:val="auto"/>
        </w:rPr>
        <w:t>11 开始工作和竣工</w:t>
      </w:r>
      <w:r>
        <w:rPr>
          <w:color w:val="auto"/>
          <w:w w:val="99"/>
        </w:rPr>
        <w:t xml:space="preserve"> </w:t>
      </w:r>
    </w:p>
    <w:p>
      <w:pPr>
        <w:spacing w:before="158"/>
        <w:ind w:left="212"/>
        <w:rPr>
          <w:b/>
          <w:color w:val="auto"/>
          <w:sz w:val="24"/>
        </w:rPr>
      </w:pPr>
      <w:bookmarkStart w:id="284" w:name="11.1_开始工作"/>
      <w:bookmarkEnd w:id="284"/>
      <w:r>
        <w:rPr>
          <w:b/>
          <w:color w:val="auto"/>
          <w:sz w:val="24"/>
        </w:rPr>
        <w:t>11.1 开始工作</w:t>
      </w:r>
      <w:r>
        <w:rPr>
          <w:b/>
          <w:color w:val="auto"/>
          <w:w w:val="99"/>
          <w:sz w:val="24"/>
        </w:rPr>
        <w:t xml:space="preserve"> </w:t>
      </w:r>
    </w:p>
    <w:p>
      <w:pPr>
        <w:pStyle w:val="8"/>
        <w:spacing w:before="3"/>
        <w:rPr>
          <w:b/>
          <w:color w:val="auto"/>
          <w:sz w:val="20"/>
        </w:rPr>
      </w:pPr>
    </w:p>
    <w:p>
      <w:pPr>
        <w:pStyle w:val="8"/>
        <w:spacing w:before="1"/>
        <w:ind w:left="212"/>
        <w:rPr>
          <w:color w:val="auto"/>
        </w:rPr>
      </w:pPr>
      <w:r>
        <w:rPr>
          <w:color w:val="auto"/>
        </w:rPr>
        <w:t xml:space="preserve">    开始工作的条件：发包人移交施工场地。 </w:t>
      </w:r>
    </w:p>
    <w:p>
      <w:pPr>
        <w:pStyle w:val="55"/>
        <w:numPr>
          <w:ilvl w:val="1"/>
          <w:numId w:val="79"/>
        </w:numPr>
        <w:tabs>
          <w:tab w:val="left" w:pos="759"/>
        </w:tabs>
        <w:spacing w:before="99"/>
        <w:ind w:hanging="547"/>
        <w:rPr>
          <w:color w:val="auto"/>
        </w:rPr>
      </w:pPr>
      <w:bookmarkStart w:id="285" w:name="11.4异常恶劣的气候条件"/>
      <w:bookmarkEnd w:id="285"/>
      <w:r>
        <w:rPr>
          <w:color w:val="auto"/>
        </w:rPr>
        <w:t>异常恶劣的气候条件</w:t>
      </w:r>
      <w:r>
        <w:rPr>
          <w:color w:val="auto"/>
          <w:w w:val="99"/>
        </w:rPr>
        <w:t xml:space="preserve"> </w:t>
      </w:r>
    </w:p>
    <w:p>
      <w:pPr>
        <w:pStyle w:val="8"/>
        <w:spacing w:before="1"/>
        <w:rPr>
          <w:b/>
          <w:color w:val="auto"/>
          <w:sz w:val="20"/>
        </w:rPr>
      </w:pPr>
    </w:p>
    <w:p>
      <w:pPr>
        <w:pStyle w:val="44"/>
        <w:numPr>
          <w:ilvl w:val="2"/>
          <w:numId w:val="79"/>
        </w:numPr>
        <w:tabs>
          <w:tab w:val="left" w:pos="1268"/>
        </w:tabs>
        <w:rPr>
          <w:color w:val="auto"/>
          <w:sz w:val="21"/>
        </w:rPr>
      </w:pPr>
      <w:r>
        <w:rPr>
          <w:color w:val="auto"/>
          <w:spacing w:val="-3"/>
          <w:sz w:val="21"/>
        </w:rPr>
        <w:t>本合同工程界定异常恶劣气候条件的范围为：</w:t>
      </w:r>
      <w:r>
        <w:rPr>
          <w:color w:val="auto"/>
          <w:sz w:val="21"/>
        </w:rPr>
        <w:t xml:space="preserve"> </w:t>
      </w:r>
    </w:p>
    <w:p>
      <w:pPr>
        <w:pStyle w:val="8"/>
        <w:spacing w:before="7"/>
        <w:rPr>
          <w:color w:val="auto"/>
          <w:sz w:val="15"/>
        </w:rPr>
      </w:pPr>
    </w:p>
    <w:p>
      <w:pPr>
        <w:pStyle w:val="44"/>
        <w:numPr>
          <w:ilvl w:val="0"/>
          <w:numId w:val="80"/>
        </w:numPr>
        <w:tabs>
          <w:tab w:val="left" w:pos="1163"/>
        </w:tabs>
        <w:ind w:hanging="530"/>
        <w:rPr>
          <w:color w:val="auto"/>
          <w:sz w:val="21"/>
        </w:rPr>
      </w:pPr>
      <w:r>
        <w:rPr>
          <w:color w:val="auto"/>
          <w:spacing w:val="-3"/>
          <w:sz w:val="21"/>
        </w:rPr>
        <w:t xml:space="preserve">日降雨量大于 </w:t>
      </w:r>
      <w:r>
        <w:rPr>
          <w:color w:val="auto"/>
          <w:sz w:val="21"/>
        </w:rPr>
        <w:t>100</w:t>
      </w:r>
      <w:r>
        <w:rPr>
          <w:color w:val="auto"/>
          <w:spacing w:val="-2"/>
          <w:sz w:val="21"/>
        </w:rPr>
        <w:t xml:space="preserve"> </w:t>
      </w:r>
      <w:r>
        <w:rPr>
          <w:color w:val="auto"/>
          <w:sz w:val="21"/>
        </w:rPr>
        <w:t>mm</w:t>
      </w:r>
      <w:r>
        <w:rPr>
          <w:color w:val="auto"/>
          <w:spacing w:val="-10"/>
          <w:sz w:val="21"/>
        </w:rPr>
        <w:t xml:space="preserve"> 的雨日超过 </w:t>
      </w:r>
      <w:r>
        <w:rPr>
          <w:color w:val="auto"/>
          <w:spacing w:val="-3"/>
          <w:sz w:val="21"/>
        </w:rPr>
        <w:t>1</w:t>
      </w:r>
      <w:r>
        <w:rPr>
          <w:color w:val="auto"/>
          <w:spacing w:val="-1"/>
          <w:sz w:val="21"/>
        </w:rPr>
        <w:t xml:space="preserve"> 天；</w:t>
      </w:r>
      <w:r>
        <w:rPr>
          <w:color w:val="auto"/>
          <w:spacing w:val="-3"/>
          <w:sz w:val="21"/>
        </w:rPr>
        <w:t xml:space="preserve"> </w:t>
      </w:r>
      <w:r>
        <w:rPr>
          <w:color w:val="auto"/>
          <w:sz w:val="21"/>
        </w:rPr>
        <w:t xml:space="preserve"> </w:t>
      </w:r>
    </w:p>
    <w:p>
      <w:pPr>
        <w:pStyle w:val="8"/>
        <w:spacing w:before="7"/>
        <w:rPr>
          <w:color w:val="auto"/>
          <w:sz w:val="15"/>
        </w:rPr>
      </w:pPr>
    </w:p>
    <w:p>
      <w:pPr>
        <w:pStyle w:val="44"/>
        <w:numPr>
          <w:ilvl w:val="0"/>
          <w:numId w:val="80"/>
        </w:numPr>
        <w:tabs>
          <w:tab w:val="left" w:pos="1163"/>
        </w:tabs>
        <w:ind w:hanging="530"/>
        <w:rPr>
          <w:color w:val="auto"/>
          <w:sz w:val="21"/>
        </w:rPr>
      </w:pPr>
      <w:r>
        <w:rPr>
          <w:color w:val="auto"/>
          <w:spacing w:val="-3"/>
          <w:sz w:val="21"/>
        </w:rPr>
        <w:t xml:space="preserve">风速大于 </w:t>
      </w:r>
      <w:r>
        <w:rPr>
          <w:color w:val="auto"/>
          <w:sz w:val="21"/>
        </w:rPr>
        <w:t>24.5 ｍ／s</w:t>
      </w:r>
      <w:r>
        <w:rPr>
          <w:color w:val="auto"/>
          <w:spacing w:val="-18"/>
          <w:sz w:val="21"/>
        </w:rPr>
        <w:t xml:space="preserve"> 的 </w:t>
      </w:r>
      <w:r>
        <w:rPr>
          <w:color w:val="auto"/>
          <w:sz w:val="21"/>
        </w:rPr>
        <w:t>10</w:t>
      </w:r>
      <w:r>
        <w:rPr>
          <w:color w:val="auto"/>
          <w:spacing w:val="-3"/>
          <w:sz w:val="21"/>
        </w:rPr>
        <w:t xml:space="preserve"> 级以上台风灾害； </w:t>
      </w:r>
    </w:p>
    <w:p>
      <w:pPr>
        <w:pStyle w:val="8"/>
        <w:spacing w:before="7"/>
        <w:rPr>
          <w:color w:val="auto"/>
          <w:sz w:val="15"/>
        </w:rPr>
      </w:pPr>
    </w:p>
    <w:p>
      <w:pPr>
        <w:pStyle w:val="44"/>
        <w:numPr>
          <w:ilvl w:val="0"/>
          <w:numId w:val="80"/>
        </w:numPr>
        <w:tabs>
          <w:tab w:val="left" w:pos="1163"/>
        </w:tabs>
        <w:ind w:hanging="530"/>
        <w:rPr>
          <w:color w:val="auto"/>
          <w:sz w:val="21"/>
        </w:rPr>
      </w:pPr>
      <w:r>
        <w:rPr>
          <w:color w:val="auto"/>
          <w:spacing w:val="-2"/>
          <w:sz w:val="21"/>
        </w:rPr>
        <w:t xml:space="preserve">日气温超过 </w:t>
      </w:r>
      <w:r>
        <w:rPr>
          <w:color w:val="auto"/>
          <w:sz w:val="21"/>
        </w:rPr>
        <w:t>38</w:t>
      </w:r>
      <w:r>
        <w:rPr>
          <w:color w:val="auto"/>
          <w:spacing w:val="-2"/>
          <w:sz w:val="21"/>
        </w:rPr>
        <w:t xml:space="preserve"> ℃的高温大于 </w:t>
      </w:r>
      <w:r>
        <w:rPr>
          <w:color w:val="auto"/>
          <w:spacing w:val="-3"/>
          <w:sz w:val="21"/>
        </w:rPr>
        <w:t>3</w:t>
      </w:r>
      <w:r>
        <w:rPr>
          <w:color w:val="auto"/>
          <w:spacing w:val="-1"/>
          <w:sz w:val="21"/>
        </w:rPr>
        <w:t xml:space="preserve"> 天；</w:t>
      </w:r>
      <w:r>
        <w:rPr>
          <w:color w:val="auto"/>
          <w:sz w:val="21"/>
        </w:rPr>
        <w:t xml:space="preserve"> </w:t>
      </w:r>
    </w:p>
    <w:p>
      <w:pPr>
        <w:pStyle w:val="8"/>
        <w:spacing w:before="7"/>
        <w:rPr>
          <w:color w:val="auto"/>
          <w:sz w:val="15"/>
        </w:rPr>
      </w:pPr>
    </w:p>
    <w:p>
      <w:pPr>
        <w:pStyle w:val="44"/>
        <w:numPr>
          <w:ilvl w:val="0"/>
          <w:numId w:val="80"/>
        </w:numPr>
        <w:tabs>
          <w:tab w:val="left" w:pos="1163"/>
        </w:tabs>
        <w:ind w:hanging="530"/>
        <w:rPr>
          <w:color w:val="auto"/>
          <w:sz w:val="21"/>
        </w:rPr>
      </w:pPr>
      <w:r>
        <w:rPr>
          <w:color w:val="auto"/>
          <w:spacing w:val="-2"/>
          <w:sz w:val="21"/>
        </w:rPr>
        <w:t>日气温低于 -</w:t>
      </w:r>
      <w:r>
        <w:rPr>
          <w:color w:val="auto"/>
          <w:sz w:val="21"/>
        </w:rPr>
        <w:t>3</w:t>
      </w:r>
      <w:r>
        <w:rPr>
          <w:color w:val="auto"/>
          <w:spacing w:val="-2"/>
          <w:sz w:val="21"/>
        </w:rPr>
        <w:t xml:space="preserve"> ℃的严寒大于 </w:t>
      </w:r>
      <w:r>
        <w:rPr>
          <w:color w:val="auto"/>
          <w:spacing w:val="-3"/>
          <w:sz w:val="21"/>
        </w:rPr>
        <w:t>3</w:t>
      </w:r>
      <w:r>
        <w:rPr>
          <w:color w:val="auto"/>
          <w:spacing w:val="-1"/>
          <w:sz w:val="21"/>
        </w:rPr>
        <w:t xml:space="preserve"> 天；</w:t>
      </w:r>
      <w:r>
        <w:rPr>
          <w:color w:val="auto"/>
          <w:sz w:val="21"/>
        </w:rPr>
        <w:t xml:space="preserve"> </w:t>
      </w:r>
    </w:p>
    <w:p>
      <w:pPr>
        <w:pStyle w:val="8"/>
        <w:spacing w:before="7"/>
        <w:rPr>
          <w:color w:val="auto"/>
          <w:sz w:val="15"/>
        </w:rPr>
      </w:pPr>
    </w:p>
    <w:p>
      <w:pPr>
        <w:pStyle w:val="44"/>
        <w:numPr>
          <w:ilvl w:val="0"/>
          <w:numId w:val="80"/>
        </w:numPr>
        <w:tabs>
          <w:tab w:val="left" w:pos="1163"/>
        </w:tabs>
        <w:ind w:hanging="530"/>
        <w:rPr>
          <w:color w:val="auto"/>
          <w:sz w:val="21"/>
        </w:rPr>
      </w:pPr>
      <w:r>
        <w:rPr>
          <w:color w:val="auto"/>
          <w:spacing w:val="-6"/>
          <w:sz w:val="21"/>
        </w:rPr>
        <w:t xml:space="preserve">造成工程损坏的冰雹和大雪灾害：中雹和 </w:t>
      </w:r>
      <w:r>
        <w:rPr>
          <w:color w:val="auto"/>
          <w:sz w:val="21"/>
        </w:rPr>
        <w:t>10mm</w:t>
      </w:r>
      <w:r>
        <w:rPr>
          <w:color w:val="auto"/>
          <w:spacing w:val="-17"/>
          <w:sz w:val="21"/>
        </w:rPr>
        <w:t xml:space="preserve"> 的大雪持续 </w:t>
      </w:r>
      <w:r>
        <w:rPr>
          <w:color w:val="auto"/>
          <w:sz w:val="21"/>
        </w:rPr>
        <w:t>5</w:t>
      </w:r>
      <w:r>
        <w:rPr>
          <w:color w:val="auto"/>
          <w:spacing w:val="-13"/>
          <w:sz w:val="21"/>
        </w:rPr>
        <w:t xml:space="preserve"> 天以上；</w:t>
      </w:r>
      <w:r>
        <w:rPr>
          <w:color w:val="auto"/>
          <w:sz w:val="21"/>
        </w:rPr>
        <w:t xml:space="preserve"> </w:t>
      </w:r>
    </w:p>
    <w:p>
      <w:pPr>
        <w:pStyle w:val="8"/>
        <w:spacing w:before="6"/>
        <w:rPr>
          <w:color w:val="auto"/>
          <w:sz w:val="15"/>
        </w:rPr>
      </w:pPr>
    </w:p>
    <w:p>
      <w:pPr>
        <w:pStyle w:val="44"/>
        <w:numPr>
          <w:ilvl w:val="0"/>
          <w:numId w:val="80"/>
        </w:numPr>
        <w:tabs>
          <w:tab w:val="left" w:pos="1163"/>
        </w:tabs>
        <w:ind w:hanging="530"/>
        <w:rPr>
          <w:color w:val="auto"/>
          <w:sz w:val="21"/>
        </w:rPr>
      </w:pPr>
      <w:r>
        <w:rPr>
          <w:color w:val="auto"/>
          <w:spacing w:val="-3"/>
          <w:sz w:val="21"/>
        </w:rPr>
        <w:t>其它异常恶劣气候灾害：以湖南省气象局发布的气象资料为准。</w:t>
      </w:r>
      <w:r>
        <w:rPr>
          <w:color w:val="auto"/>
          <w:sz w:val="21"/>
        </w:rPr>
        <w:t xml:space="preserve"> </w:t>
      </w:r>
    </w:p>
    <w:p>
      <w:pPr>
        <w:rPr>
          <w:color w:val="auto"/>
          <w:sz w:val="21"/>
        </w:rPr>
        <w:sectPr>
          <w:pgSz w:w="11910" w:h="16840"/>
          <w:pgMar w:top="1460" w:right="700" w:bottom="1180" w:left="920" w:header="0" w:footer="995" w:gutter="0"/>
          <w:pgNumType w:fmt="decimal"/>
          <w:cols w:space="720" w:num="1"/>
        </w:sectPr>
      </w:pPr>
    </w:p>
    <w:p>
      <w:pPr>
        <w:pStyle w:val="55"/>
        <w:numPr>
          <w:ilvl w:val="1"/>
          <w:numId w:val="79"/>
        </w:numPr>
        <w:tabs>
          <w:tab w:val="left" w:pos="759"/>
        </w:tabs>
        <w:spacing w:before="45"/>
        <w:ind w:hanging="547"/>
        <w:rPr>
          <w:color w:val="auto"/>
        </w:rPr>
      </w:pPr>
      <w:bookmarkStart w:id="286" w:name="11.5承包人引起的工期延误"/>
      <w:bookmarkEnd w:id="286"/>
      <w:r>
        <w:rPr>
          <w:color w:val="auto"/>
        </w:rPr>
        <w:t>承包人引起的工期延误</w:t>
      </w:r>
      <w:r>
        <w:rPr>
          <w:color w:val="auto"/>
          <w:w w:val="99"/>
        </w:rPr>
        <w:t xml:space="preserve"> </w:t>
      </w:r>
    </w:p>
    <w:p>
      <w:pPr>
        <w:pStyle w:val="8"/>
        <w:spacing w:before="57" w:line="470" w:lineRule="atLeast"/>
        <w:ind w:left="212" w:right="391" w:firstLine="420"/>
        <w:rPr>
          <w:color w:val="auto"/>
        </w:rPr>
      </w:pPr>
      <w:r>
        <w:rPr>
          <w:color w:val="auto"/>
        </w:rPr>
        <w:t xml:space="preserve">承包人逾期完工，比合同工期每推迟一天的违约金为 1000 元，但其最终的累计总额不应超过合同价格的 5 ％。 </w:t>
      </w:r>
    </w:p>
    <w:p>
      <w:pPr>
        <w:pStyle w:val="55"/>
        <w:numPr>
          <w:ilvl w:val="1"/>
          <w:numId w:val="79"/>
        </w:numPr>
        <w:tabs>
          <w:tab w:val="left" w:pos="759"/>
        </w:tabs>
        <w:spacing w:before="98"/>
        <w:ind w:hanging="547"/>
        <w:rPr>
          <w:color w:val="auto"/>
        </w:rPr>
      </w:pPr>
      <w:bookmarkStart w:id="287" w:name="11.6工期提前"/>
      <w:bookmarkEnd w:id="287"/>
      <w:r>
        <w:rPr>
          <w:color w:val="auto"/>
        </w:rPr>
        <w:t>工期提前</w:t>
      </w:r>
      <w:r>
        <w:rPr>
          <w:color w:val="auto"/>
          <w:w w:val="99"/>
        </w:rPr>
        <w:t xml:space="preserve"> </w:t>
      </w:r>
    </w:p>
    <w:p>
      <w:pPr>
        <w:pStyle w:val="8"/>
        <w:spacing w:before="3"/>
        <w:rPr>
          <w:b/>
          <w:color w:val="auto"/>
          <w:sz w:val="20"/>
        </w:rPr>
      </w:pPr>
    </w:p>
    <w:p>
      <w:pPr>
        <w:pStyle w:val="8"/>
        <w:spacing w:before="1"/>
        <w:ind w:left="633"/>
        <w:rPr>
          <w:color w:val="auto"/>
        </w:rPr>
      </w:pPr>
      <w:r>
        <w:rPr>
          <w:color w:val="auto"/>
        </w:rPr>
        <w:t xml:space="preserve">工期提前的奖金约定：本合同工程不支付工期提前的奖金 。 </w:t>
      </w:r>
    </w:p>
    <w:p>
      <w:pPr>
        <w:pStyle w:val="8"/>
        <w:spacing w:before="6"/>
        <w:rPr>
          <w:color w:val="auto"/>
          <w:sz w:val="15"/>
        </w:rPr>
      </w:pPr>
    </w:p>
    <w:p>
      <w:pPr>
        <w:pStyle w:val="8"/>
        <w:ind w:left="633"/>
        <w:rPr>
          <w:color w:val="auto"/>
        </w:rPr>
      </w:pPr>
      <w:r>
        <w:rPr>
          <w:color w:val="auto"/>
        </w:rPr>
        <w:t xml:space="preserve"> </w:t>
      </w:r>
    </w:p>
    <w:p>
      <w:pPr>
        <w:pStyle w:val="55"/>
        <w:spacing w:before="100"/>
        <w:ind w:left="212" w:firstLine="0"/>
        <w:rPr>
          <w:color w:val="auto"/>
        </w:rPr>
      </w:pPr>
      <w:bookmarkStart w:id="288" w:name="14__试验和检验"/>
      <w:bookmarkEnd w:id="288"/>
      <w:r>
        <w:rPr>
          <w:color w:val="auto"/>
        </w:rPr>
        <w:t>14 试验和检验</w:t>
      </w:r>
      <w:r>
        <w:rPr>
          <w:color w:val="auto"/>
          <w:w w:val="99"/>
        </w:rPr>
        <w:t xml:space="preserve"> </w:t>
      </w:r>
    </w:p>
    <w:p>
      <w:pPr>
        <w:spacing w:before="158"/>
        <w:ind w:left="212"/>
        <w:rPr>
          <w:b/>
          <w:color w:val="auto"/>
          <w:sz w:val="24"/>
        </w:rPr>
      </w:pPr>
      <w:bookmarkStart w:id="289" w:name="14.1材料、工程设备和工程的试验和检验"/>
      <w:bookmarkEnd w:id="289"/>
      <w:r>
        <w:rPr>
          <w:b/>
          <w:color w:val="auto"/>
          <w:sz w:val="24"/>
        </w:rPr>
        <w:t>14.1 材料、工程设备和工程的试验和检验</w:t>
      </w:r>
      <w:r>
        <w:rPr>
          <w:b/>
          <w:color w:val="auto"/>
          <w:w w:val="99"/>
          <w:sz w:val="24"/>
        </w:rPr>
        <w:t xml:space="preserve"> </w:t>
      </w:r>
    </w:p>
    <w:p>
      <w:pPr>
        <w:pStyle w:val="8"/>
        <w:spacing w:before="70" w:line="460" w:lineRule="atLeast"/>
        <w:ind w:left="212" w:right="426" w:firstLine="420"/>
        <w:rPr>
          <w:color w:val="auto"/>
        </w:rPr>
      </w:pPr>
      <w:r>
        <w:rPr>
          <w:color w:val="auto"/>
          <w:spacing w:val="-5"/>
        </w:rPr>
        <w:t>监理工程师代表发包人负责监督和检查工程的质量、进度，试验和检验承包人使用的与合同工程有关</w:t>
      </w:r>
      <w:r>
        <w:rPr>
          <w:color w:val="auto"/>
          <w:spacing w:val="-4"/>
        </w:rPr>
        <w:t xml:space="preserve">的本材料、设备和工艺，及时向承包人提供工作所需的指令、批准和通知等。 </w:t>
      </w:r>
    </w:p>
    <w:p>
      <w:pPr>
        <w:pStyle w:val="55"/>
        <w:spacing w:before="107"/>
        <w:ind w:left="212" w:firstLine="0"/>
        <w:rPr>
          <w:color w:val="auto"/>
        </w:rPr>
      </w:pPr>
      <w:bookmarkStart w:id="290" w:name="15_变更"/>
      <w:bookmarkEnd w:id="290"/>
      <w:r>
        <w:rPr>
          <w:color w:val="auto"/>
        </w:rPr>
        <w:t>15 变更</w:t>
      </w:r>
      <w:r>
        <w:rPr>
          <w:color w:val="auto"/>
          <w:w w:val="99"/>
        </w:rPr>
        <w:t xml:space="preserve"> </w:t>
      </w:r>
    </w:p>
    <w:p>
      <w:pPr>
        <w:pStyle w:val="8"/>
        <w:spacing w:before="4"/>
        <w:rPr>
          <w:b/>
          <w:color w:val="auto"/>
          <w:sz w:val="20"/>
        </w:rPr>
      </w:pPr>
    </w:p>
    <w:p>
      <w:pPr>
        <w:pStyle w:val="56"/>
        <w:ind w:left="635"/>
        <w:rPr>
          <w:color w:val="auto"/>
        </w:rPr>
      </w:pPr>
      <w:r>
        <w:rPr>
          <w:color w:val="auto"/>
        </w:rPr>
        <w:t>补：变更约定</w:t>
      </w:r>
      <w:r>
        <w:rPr>
          <w:color w:val="auto"/>
          <w:w w:val="99"/>
        </w:rPr>
        <w:t xml:space="preserve"> </w:t>
      </w:r>
    </w:p>
    <w:p>
      <w:pPr>
        <w:pStyle w:val="8"/>
        <w:spacing w:before="6"/>
        <w:rPr>
          <w:b/>
          <w:color w:val="auto"/>
          <w:sz w:val="15"/>
        </w:rPr>
      </w:pPr>
    </w:p>
    <w:p>
      <w:pPr>
        <w:pStyle w:val="8"/>
        <w:spacing w:before="1"/>
        <w:ind w:left="633"/>
        <w:rPr>
          <w:color w:val="auto"/>
        </w:rPr>
      </w:pPr>
      <w:r>
        <w:rPr>
          <w:color w:val="auto"/>
        </w:rPr>
        <w:t xml:space="preserve">1、业主发布指示的变更：指不可抗力引起的变更； </w:t>
      </w:r>
    </w:p>
    <w:p>
      <w:pPr>
        <w:pStyle w:val="8"/>
        <w:spacing w:before="6"/>
        <w:rPr>
          <w:color w:val="auto"/>
          <w:sz w:val="15"/>
        </w:rPr>
      </w:pPr>
    </w:p>
    <w:p>
      <w:pPr>
        <w:pStyle w:val="8"/>
        <w:spacing w:line="417" w:lineRule="auto"/>
        <w:ind w:left="212" w:right="434" w:firstLine="420"/>
        <w:rPr>
          <w:color w:val="auto"/>
        </w:rPr>
      </w:pPr>
      <w:r>
        <w:rPr>
          <w:color w:val="auto"/>
        </w:rPr>
        <w:t xml:space="preserve">2、承包商提交建议书后确定的变更：指承包人提出降低投资成本、缩短工期或者提高工程经济效益的合理化建议的变更； </w:t>
      </w:r>
    </w:p>
    <w:p>
      <w:pPr>
        <w:pStyle w:val="8"/>
        <w:spacing w:line="415" w:lineRule="auto"/>
        <w:ind w:left="212" w:right="434" w:firstLine="420"/>
        <w:rPr>
          <w:color w:val="auto"/>
        </w:rPr>
      </w:pPr>
      <w:r>
        <w:rPr>
          <w:color w:val="auto"/>
        </w:rPr>
        <w:t xml:space="preserve">3、承包商履行合同失败导致的变更：承包商履行合同失败，如有缺陷的工序和低劣的工程、工期延误等变更，本项工程变更超出中标价的费用由承包人负责。 </w:t>
      </w:r>
    </w:p>
    <w:p>
      <w:pPr>
        <w:pStyle w:val="8"/>
        <w:spacing w:before="3"/>
        <w:ind w:left="633"/>
        <w:rPr>
          <w:color w:val="auto"/>
        </w:rPr>
      </w:pPr>
      <w:r>
        <w:rPr>
          <w:color w:val="auto"/>
        </w:rPr>
        <w:t xml:space="preserve"> </w:t>
      </w:r>
    </w:p>
    <w:p>
      <w:pPr>
        <w:pStyle w:val="55"/>
        <w:spacing w:before="99"/>
        <w:ind w:left="212" w:firstLine="0"/>
        <w:rPr>
          <w:color w:val="auto"/>
        </w:rPr>
      </w:pPr>
      <w:bookmarkStart w:id="291" w:name="16__价格调整"/>
      <w:bookmarkEnd w:id="291"/>
      <w:r>
        <w:rPr>
          <w:color w:val="auto"/>
        </w:rPr>
        <w:t>16 价格调整</w:t>
      </w:r>
      <w:r>
        <w:rPr>
          <w:color w:val="auto"/>
          <w:w w:val="99"/>
        </w:rPr>
        <w:t xml:space="preserve"> </w:t>
      </w:r>
    </w:p>
    <w:p>
      <w:pPr>
        <w:pStyle w:val="44"/>
        <w:numPr>
          <w:ilvl w:val="1"/>
          <w:numId w:val="81"/>
        </w:numPr>
        <w:tabs>
          <w:tab w:val="left" w:pos="759"/>
        </w:tabs>
        <w:spacing w:before="161"/>
        <w:ind w:hanging="547"/>
        <w:rPr>
          <w:b/>
          <w:color w:val="auto"/>
          <w:sz w:val="24"/>
        </w:rPr>
      </w:pPr>
      <w:bookmarkStart w:id="292" w:name="16.1物价波动引起的调整"/>
      <w:bookmarkEnd w:id="292"/>
      <w:r>
        <w:rPr>
          <w:b/>
          <w:color w:val="auto"/>
          <w:sz w:val="24"/>
        </w:rPr>
        <w:t>物价波动引起的调整</w:t>
      </w:r>
      <w:r>
        <w:rPr>
          <w:b/>
          <w:color w:val="auto"/>
          <w:w w:val="99"/>
          <w:sz w:val="24"/>
        </w:rPr>
        <w:t xml:space="preserve"> </w:t>
      </w:r>
    </w:p>
    <w:p>
      <w:pPr>
        <w:pStyle w:val="8"/>
        <w:spacing w:before="3"/>
        <w:rPr>
          <w:b/>
          <w:color w:val="auto"/>
          <w:sz w:val="20"/>
        </w:rPr>
      </w:pPr>
    </w:p>
    <w:p>
      <w:pPr>
        <w:pStyle w:val="8"/>
        <w:spacing w:before="1"/>
        <w:ind w:left="669" w:right="7690"/>
        <w:jc w:val="center"/>
        <w:rPr>
          <w:color w:val="auto"/>
        </w:rPr>
      </w:pPr>
      <w:r>
        <w:rPr>
          <w:color w:val="auto"/>
        </w:rPr>
        <w:t xml:space="preserve">任何情况均不调整。 </w:t>
      </w:r>
    </w:p>
    <w:p>
      <w:pPr>
        <w:pStyle w:val="55"/>
        <w:numPr>
          <w:ilvl w:val="1"/>
          <w:numId w:val="81"/>
        </w:numPr>
        <w:tabs>
          <w:tab w:val="left" w:pos="699"/>
        </w:tabs>
        <w:spacing w:before="99"/>
        <w:ind w:left="698" w:right="6963" w:hanging="699"/>
        <w:rPr>
          <w:color w:val="auto"/>
        </w:rPr>
      </w:pPr>
      <w:bookmarkStart w:id="293" w:name="16.2_法律变化引起的调整"/>
      <w:bookmarkEnd w:id="293"/>
      <w:r>
        <w:rPr>
          <w:color w:val="auto"/>
        </w:rPr>
        <w:t>法律变化引起的调整</w:t>
      </w:r>
      <w:r>
        <w:rPr>
          <w:color w:val="auto"/>
          <w:w w:val="99"/>
        </w:rPr>
        <w:t xml:space="preserve"> </w:t>
      </w:r>
    </w:p>
    <w:p>
      <w:pPr>
        <w:pStyle w:val="8"/>
        <w:spacing w:before="1"/>
        <w:rPr>
          <w:b/>
          <w:color w:val="auto"/>
          <w:sz w:val="20"/>
        </w:rPr>
      </w:pPr>
    </w:p>
    <w:p>
      <w:pPr>
        <w:pStyle w:val="8"/>
        <w:ind w:left="633"/>
        <w:rPr>
          <w:color w:val="auto"/>
        </w:rPr>
      </w:pPr>
      <w:r>
        <w:rPr>
          <w:color w:val="auto"/>
        </w:rPr>
        <w:t xml:space="preserve">删除通用合同条款第 16.2 条，以下列条文代替： </w:t>
      </w:r>
    </w:p>
    <w:p>
      <w:pPr>
        <w:pStyle w:val="8"/>
        <w:spacing w:before="8"/>
        <w:rPr>
          <w:color w:val="auto"/>
          <w:sz w:val="15"/>
        </w:rPr>
      </w:pPr>
    </w:p>
    <w:p>
      <w:pPr>
        <w:pStyle w:val="8"/>
        <w:spacing w:line="417" w:lineRule="auto"/>
        <w:ind w:left="212" w:right="426" w:firstLine="420"/>
        <w:rPr>
          <w:color w:val="auto"/>
        </w:rPr>
      </w:pPr>
      <w:r>
        <w:rPr>
          <w:color w:val="auto"/>
          <w:spacing w:val="-6"/>
        </w:rPr>
        <w:t>在本合同实施期间，只有在国家发布对企业允许列入工程造价的税率进行调整时，才允许调整本合同</w:t>
      </w:r>
      <w:r>
        <w:rPr>
          <w:color w:val="auto"/>
          <w:spacing w:val="-4"/>
        </w:rPr>
        <w:t xml:space="preserve">的税金。 </w:t>
      </w:r>
    </w:p>
    <w:p>
      <w:pPr>
        <w:pStyle w:val="8"/>
        <w:spacing w:line="269" w:lineRule="exact"/>
        <w:ind w:left="633"/>
        <w:rPr>
          <w:color w:val="auto"/>
        </w:rPr>
      </w:pPr>
      <w:r>
        <w:rPr>
          <w:color w:val="auto"/>
        </w:rPr>
        <w:t xml:space="preserve"> </w:t>
      </w:r>
    </w:p>
    <w:p>
      <w:pPr>
        <w:pStyle w:val="55"/>
        <w:spacing w:before="99"/>
        <w:ind w:left="212" w:firstLine="0"/>
        <w:rPr>
          <w:color w:val="auto"/>
        </w:rPr>
      </w:pPr>
      <w:bookmarkStart w:id="294" w:name="17__合同价格与支付"/>
      <w:bookmarkEnd w:id="294"/>
      <w:r>
        <w:rPr>
          <w:color w:val="auto"/>
        </w:rPr>
        <w:t>17 合同价格与支付</w:t>
      </w:r>
      <w:r>
        <w:rPr>
          <w:color w:val="auto"/>
          <w:w w:val="99"/>
        </w:rPr>
        <w:t xml:space="preserve"> </w:t>
      </w:r>
    </w:p>
    <w:p>
      <w:pPr>
        <w:pStyle w:val="44"/>
        <w:numPr>
          <w:ilvl w:val="1"/>
          <w:numId w:val="82"/>
        </w:numPr>
        <w:tabs>
          <w:tab w:val="left" w:pos="759"/>
        </w:tabs>
        <w:spacing w:before="161"/>
        <w:ind w:hanging="547"/>
        <w:rPr>
          <w:b/>
          <w:color w:val="auto"/>
          <w:sz w:val="24"/>
        </w:rPr>
      </w:pPr>
      <w:bookmarkStart w:id="295" w:name="17.2预付款"/>
      <w:bookmarkEnd w:id="295"/>
      <w:r>
        <w:rPr>
          <w:b/>
          <w:color w:val="auto"/>
          <w:sz w:val="24"/>
        </w:rPr>
        <w:t>预付款</w:t>
      </w:r>
      <w:r>
        <w:rPr>
          <w:b/>
          <w:color w:val="auto"/>
          <w:w w:val="99"/>
          <w:sz w:val="24"/>
        </w:rPr>
        <w:t xml:space="preserve"> </w:t>
      </w:r>
    </w:p>
    <w:p>
      <w:pPr>
        <w:pStyle w:val="8"/>
        <w:spacing w:before="1"/>
        <w:rPr>
          <w:b/>
          <w:color w:val="auto"/>
          <w:sz w:val="20"/>
        </w:rPr>
      </w:pPr>
    </w:p>
    <w:p>
      <w:pPr>
        <w:pStyle w:val="56"/>
        <w:ind w:left="635"/>
        <w:rPr>
          <w:color w:val="auto"/>
        </w:rPr>
      </w:pPr>
      <w:r>
        <w:rPr>
          <w:color w:val="auto"/>
        </w:rPr>
        <w:t>17.2.1 预付款：</w:t>
      </w:r>
      <w:r>
        <w:rPr>
          <w:color w:val="auto"/>
          <w:w w:val="99"/>
        </w:rPr>
        <w:t xml:space="preserve"> </w:t>
      </w:r>
    </w:p>
    <w:p>
      <w:pPr>
        <w:pStyle w:val="8"/>
        <w:spacing w:before="101"/>
        <w:ind w:left="633"/>
        <w:rPr>
          <w:color w:val="auto"/>
        </w:rPr>
      </w:pPr>
      <w:r>
        <w:rPr>
          <w:color w:val="auto"/>
        </w:rPr>
        <w:t xml:space="preserve">（1）本项目预付款为合同签约价的 10%。 </w:t>
      </w:r>
    </w:p>
    <w:p>
      <w:pPr>
        <w:rPr>
          <w:color w:val="auto"/>
        </w:rPr>
        <w:sectPr>
          <w:pgSz w:w="11910" w:h="16840"/>
          <w:pgMar w:top="1460" w:right="700" w:bottom="1180" w:left="920" w:header="0" w:footer="995" w:gutter="0"/>
          <w:pgNumType w:fmt="decimal"/>
          <w:cols w:space="720" w:num="1"/>
        </w:sectPr>
      </w:pPr>
    </w:p>
    <w:p>
      <w:pPr>
        <w:pStyle w:val="55"/>
        <w:numPr>
          <w:ilvl w:val="1"/>
          <w:numId w:val="82"/>
        </w:numPr>
        <w:tabs>
          <w:tab w:val="left" w:pos="699"/>
        </w:tabs>
        <w:spacing w:before="45"/>
        <w:ind w:left="698" w:hanging="487"/>
        <w:rPr>
          <w:color w:val="auto"/>
        </w:rPr>
      </w:pPr>
      <w:bookmarkStart w:id="296" w:name="17.3_工程进度付款"/>
      <w:bookmarkEnd w:id="296"/>
      <w:r>
        <w:rPr>
          <w:color w:val="auto"/>
        </w:rPr>
        <w:t>工程进度付款</w:t>
      </w:r>
      <w:r>
        <w:rPr>
          <w:color w:val="auto"/>
          <w:w w:val="99"/>
        </w:rPr>
        <w:t xml:space="preserve"> </w:t>
      </w:r>
    </w:p>
    <w:p>
      <w:pPr>
        <w:pStyle w:val="8"/>
        <w:spacing w:before="2"/>
        <w:rPr>
          <w:b/>
          <w:color w:val="auto"/>
          <w:sz w:val="20"/>
        </w:rPr>
      </w:pPr>
    </w:p>
    <w:p>
      <w:pPr>
        <w:pStyle w:val="44"/>
        <w:numPr>
          <w:ilvl w:val="2"/>
          <w:numId w:val="83"/>
        </w:numPr>
        <w:tabs>
          <w:tab w:val="left" w:pos="1318"/>
        </w:tabs>
        <w:ind w:hanging="685"/>
        <w:rPr>
          <w:color w:val="auto"/>
          <w:sz w:val="21"/>
        </w:rPr>
      </w:pPr>
      <w:r>
        <w:rPr>
          <w:color w:val="auto"/>
          <w:spacing w:val="-3"/>
          <w:sz w:val="21"/>
        </w:rPr>
        <w:t>进度付款申请单（</w:t>
      </w:r>
      <w:r>
        <w:rPr>
          <w:color w:val="auto"/>
          <w:sz w:val="21"/>
        </w:rPr>
        <w:t>补充</w:t>
      </w:r>
      <w:r>
        <w:rPr>
          <w:color w:val="auto"/>
          <w:spacing w:val="-3"/>
          <w:sz w:val="21"/>
        </w:rPr>
        <w:t>）</w:t>
      </w:r>
      <w:r>
        <w:rPr>
          <w:color w:val="auto"/>
          <w:sz w:val="21"/>
        </w:rPr>
        <w:t xml:space="preserve"> </w:t>
      </w:r>
    </w:p>
    <w:p>
      <w:pPr>
        <w:pStyle w:val="8"/>
        <w:spacing w:before="7"/>
        <w:rPr>
          <w:color w:val="auto"/>
          <w:sz w:val="15"/>
        </w:rPr>
      </w:pPr>
    </w:p>
    <w:p>
      <w:pPr>
        <w:pStyle w:val="8"/>
        <w:spacing w:line="417" w:lineRule="auto"/>
        <w:ind w:left="212" w:right="382" w:firstLine="420"/>
        <w:rPr>
          <w:color w:val="auto"/>
        </w:rPr>
      </w:pPr>
      <w:r>
        <w:rPr>
          <w:color w:val="auto"/>
        </w:rPr>
        <w:t xml:space="preserve">承包人提交月进度付款申请单的数量：6 份。承包人必须将企业基本账户作为工程结算款支付帐户， 发包人拒绝将工程款支付到企业基本账户以外的任何账户。 </w:t>
      </w:r>
    </w:p>
    <w:p>
      <w:pPr>
        <w:pStyle w:val="44"/>
        <w:numPr>
          <w:ilvl w:val="2"/>
          <w:numId w:val="83"/>
        </w:numPr>
        <w:tabs>
          <w:tab w:val="left" w:pos="1268"/>
        </w:tabs>
        <w:spacing w:line="269" w:lineRule="exact"/>
        <w:ind w:left="1267" w:hanging="635"/>
        <w:rPr>
          <w:color w:val="auto"/>
          <w:sz w:val="21"/>
        </w:rPr>
      </w:pPr>
      <w:r>
        <w:rPr>
          <w:color w:val="auto"/>
          <w:spacing w:val="-3"/>
          <w:sz w:val="21"/>
        </w:rPr>
        <w:t xml:space="preserve">进度付款证书和支付时间 </w:t>
      </w:r>
    </w:p>
    <w:p>
      <w:pPr>
        <w:pStyle w:val="8"/>
        <w:spacing w:before="6"/>
        <w:rPr>
          <w:color w:val="auto"/>
          <w:sz w:val="15"/>
        </w:rPr>
      </w:pPr>
    </w:p>
    <w:p>
      <w:pPr>
        <w:pStyle w:val="8"/>
        <w:spacing w:before="1"/>
        <w:ind w:left="633"/>
        <w:rPr>
          <w:color w:val="auto"/>
        </w:rPr>
      </w:pPr>
      <w:r>
        <w:rPr>
          <w:color w:val="auto"/>
        </w:rPr>
        <w:t xml:space="preserve">合同中约定。 </w:t>
      </w:r>
    </w:p>
    <w:p>
      <w:pPr>
        <w:pStyle w:val="55"/>
        <w:numPr>
          <w:ilvl w:val="1"/>
          <w:numId w:val="84"/>
        </w:numPr>
        <w:tabs>
          <w:tab w:val="left" w:pos="759"/>
        </w:tabs>
        <w:spacing w:before="99"/>
        <w:ind w:hanging="547"/>
        <w:rPr>
          <w:color w:val="auto"/>
        </w:rPr>
      </w:pPr>
      <w:bookmarkStart w:id="297" w:name="17.5竣工结算"/>
      <w:bookmarkEnd w:id="297"/>
      <w:r>
        <w:rPr>
          <w:color w:val="auto"/>
        </w:rPr>
        <w:t>竣工结算</w:t>
      </w:r>
      <w:r>
        <w:rPr>
          <w:color w:val="auto"/>
          <w:w w:val="99"/>
        </w:rPr>
        <w:t xml:space="preserve"> </w:t>
      </w:r>
    </w:p>
    <w:p>
      <w:pPr>
        <w:pStyle w:val="8"/>
        <w:spacing w:before="4"/>
        <w:rPr>
          <w:b/>
          <w:color w:val="auto"/>
          <w:sz w:val="20"/>
        </w:rPr>
      </w:pPr>
    </w:p>
    <w:p>
      <w:pPr>
        <w:pStyle w:val="44"/>
        <w:numPr>
          <w:ilvl w:val="2"/>
          <w:numId w:val="84"/>
        </w:numPr>
        <w:tabs>
          <w:tab w:val="left" w:pos="1268"/>
        </w:tabs>
        <w:rPr>
          <w:color w:val="auto"/>
          <w:sz w:val="21"/>
        </w:rPr>
      </w:pPr>
      <w:r>
        <w:rPr>
          <w:color w:val="auto"/>
          <w:spacing w:val="-3"/>
          <w:sz w:val="21"/>
        </w:rPr>
        <w:t>竣工付款申请单</w:t>
      </w:r>
      <w:r>
        <w:rPr>
          <w:color w:val="auto"/>
          <w:sz w:val="21"/>
        </w:rPr>
        <w:t xml:space="preserve"> </w:t>
      </w:r>
    </w:p>
    <w:p>
      <w:pPr>
        <w:pStyle w:val="8"/>
        <w:spacing w:before="7"/>
        <w:rPr>
          <w:color w:val="auto"/>
          <w:sz w:val="15"/>
        </w:rPr>
      </w:pPr>
    </w:p>
    <w:p>
      <w:pPr>
        <w:pStyle w:val="8"/>
        <w:ind w:left="633"/>
        <w:rPr>
          <w:color w:val="auto"/>
        </w:rPr>
      </w:pPr>
      <w:r>
        <w:rPr>
          <w:color w:val="auto"/>
        </w:rPr>
        <w:t xml:space="preserve">（1）承包人应在工程接收证书颁发后 14 天内提交完工付款申请单一式 6 份。 </w:t>
      </w:r>
    </w:p>
    <w:p>
      <w:pPr>
        <w:pStyle w:val="55"/>
        <w:numPr>
          <w:ilvl w:val="1"/>
          <w:numId w:val="84"/>
        </w:numPr>
        <w:tabs>
          <w:tab w:val="left" w:pos="759"/>
        </w:tabs>
        <w:spacing w:before="100"/>
        <w:ind w:hanging="547"/>
        <w:rPr>
          <w:color w:val="auto"/>
        </w:rPr>
      </w:pPr>
      <w:bookmarkStart w:id="298" w:name="17.6最终结清"/>
      <w:bookmarkEnd w:id="298"/>
      <w:r>
        <w:rPr>
          <w:color w:val="auto"/>
        </w:rPr>
        <w:t>最终结清</w:t>
      </w:r>
      <w:r>
        <w:rPr>
          <w:color w:val="auto"/>
          <w:w w:val="99"/>
        </w:rPr>
        <w:t xml:space="preserve"> </w:t>
      </w:r>
    </w:p>
    <w:p>
      <w:pPr>
        <w:pStyle w:val="8"/>
        <w:spacing w:before="1"/>
        <w:rPr>
          <w:b/>
          <w:color w:val="auto"/>
          <w:sz w:val="20"/>
        </w:rPr>
      </w:pPr>
    </w:p>
    <w:p>
      <w:pPr>
        <w:pStyle w:val="44"/>
        <w:numPr>
          <w:ilvl w:val="2"/>
          <w:numId w:val="84"/>
        </w:numPr>
        <w:tabs>
          <w:tab w:val="left" w:pos="1268"/>
        </w:tabs>
        <w:rPr>
          <w:color w:val="auto"/>
          <w:sz w:val="21"/>
        </w:rPr>
      </w:pPr>
      <w:r>
        <w:rPr>
          <w:color w:val="auto"/>
          <w:spacing w:val="-3"/>
          <w:sz w:val="21"/>
        </w:rPr>
        <w:t>最终结清申请单</w:t>
      </w:r>
      <w:r>
        <w:rPr>
          <w:color w:val="auto"/>
          <w:sz w:val="21"/>
        </w:rPr>
        <w:t xml:space="preserve"> </w:t>
      </w:r>
    </w:p>
    <w:p>
      <w:pPr>
        <w:pStyle w:val="8"/>
        <w:spacing w:before="7"/>
        <w:rPr>
          <w:color w:val="auto"/>
          <w:sz w:val="15"/>
        </w:rPr>
      </w:pPr>
    </w:p>
    <w:p>
      <w:pPr>
        <w:pStyle w:val="8"/>
        <w:ind w:left="633"/>
        <w:rPr>
          <w:color w:val="auto"/>
        </w:rPr>
      </w:pPr>
      <w:r>
        <w:rPr>
          <w:color w:val="auto"/>
        </w:rPr>
        <w:t xml:space="preserve">（1）承包人应提交最终结清申请单一式 8 份。 </w:t>
      </w:r>
    </w:p>
    <w:p>
      <w:pPr>
        <w:pStyle w:val="8"/>
        <w:spacing w:before="6"/>
        <w:rPr>
          <w:color w:val="auto"/>
          <w:sz w:val="15"/>
        </w:rPr>
      </w:pPr>
    </w:p>
    <w:p>
      <w:pPr>
        <w:pStyle w:val="44"/>
        <w:numPr>
          <w:ilvl w:val="2"/>
          <w:numId w:val="84"/>
        </w:numPr>
        <w:tabs>
          <w:tab w:val="left" w:pos="1318"/>
        </w:tabs>
        <w:ind w:left="1317" w:hanging="685"/>
        <w:rPr>
          <w:color w:val="auto"/>
          <w:sz w:val="21"/>
        </w:rPr>
      </w:pPr>
      <w:r>
        <w:rPr>
          <w:color w:val="auto"/>
          <w:spacing w:val="-3"/>
          <w:sz w:val="21"/>
        </w:rPr>
        <w:t>最终结清证书和支付时间</w:t>
      </w:r>
      <w:r>
        <w:rPr>
          <w:color w:val="auto"/>
          <w:sz w:val="21"/>
        </w:rPr>
        <w:t>（</w:t>
      </w:r>
      <w:r>
        <w:rPr>
          <w:color w:val="auto"/>
          <w:spacing w:val="-2"/>
          <w:sz w:val="21"/>
        </w:rPr>
        <w:t>补充</w:t>
      </w:r>
      <w:r>
        <w:rPr>
          <w:color w:val="auto"/>
          <w:spacing w:val="-3"/>
          <w:sz w:val="21"/>
        </w:rPr>
        <w:t>）</w:t>
      </w:r>
      <w:r>
        <w:rPr>
          <w:color w:val="auto"/>
          <w:sz w:val="21"/>
        </w:rPr>
        <w:t xml:space="preserve"> </w:t>
      </w:r>
    </w:p>
    <w:p>
      <w:pPr>
        <w:pStyle w:val="8"/>
        <w:spacing w:before="7"/>
        <w:rPr>
          <w:color w:val="auto"/>
          <w:sz w:val="15"/>
        </w:rPr>
      </w:pPr>
    </w:p>
    <w:p>
      <w:pPr>
        <w:pStyle w:val="8"/>
        <w:spacing w:line="417" w:lineRule="auto"/>
        <w:ind w:left="212" w:right="404" w:firstLine="420"/>
        <w:rPr>
          <w:color w:val="auto"/>
        </w:rPr>
      </w:pPr>
      <w:r>
        <w:rPr>
          <w:color w:val="auto"/>
        </w:rPr>
        <w:t xml:space="preserve">（5）承包人应为竣工财务决算编制提供的资料： 按照发包人的要求，提供所需一切资料所需的一切费用均已包含在合同总价中，发包人不另行支付。 </w:t>
      </w:r>
    </w:p>
    <w:p>
      <w:pPr>
        <w:pStyle w:val="8"/>
        <w:spacing w:line="269" w:lineRule="exact"/>
        <w:ind w:left="633"/>
        <w:rPr>
          <w:color w:val="auto"/>
        </w:rPr>
      </w:pPr>
      <w:r>
        <w:rPr>
          <w:color w:val="auto"/>
        </w:rPr>
        <w:t xml:space="preserve"> </w:t>
      </w:r>
    </w:p>
    <w:p>
      <w:pPr>
        <w:pStyle w:val="55"/>
        <w:spacing w:before="100"/>
        <w:ind w:left="212" w:firstLine="0"/>
        <w:rPr>
          <w:color w:val="auto"/>
        </w:rPr>
      </w:pPr>
      <w:bookmarkStart w:id="299" w:name="18__竣工试验和竣工验收"/>
      <w:bookmarkEnd w:id="299"/>
      <w:r>
        <w:rPr>
          <w:color w:val="auto"/>
        </w:rPr>
        <w:t>18 竣工试验和竣工验收</w:t>
      </w:r>
      <w:r>
        <w:rPr>
          <w:color w:val="auto"/>
          <w:w w:val="99"/>
        </w:rPr>
        <w:t xml:space="preserve"> </w:t>
      </w:r>
    </w:p>
    <w:p>
      <w:pPr>
        <w:spacing w:before="160"/>
        <w:ind w:left="212"/>
        <w:rPr>
          <w:b/>
          <w:color w:val="auto"/>
          <w:sz w:val="24"/>
        </w:rPr>
      </w:pPr>
      <w:bookmarkStart w:id="300" w:name="18.9竣工后试验"/>
      <w:bookmarkEnd w:id="300"/>
      <w:r>
        <w:rPr>
          <w:b/>
          <w:color w:val="auto"/>
          <w:sz w:val="24"/>
        </w:rPr>
        <w:t>18.9 竣工后试验</w:t>
      </w:r>
      <w:r>
        <w:rPr>
          <w:b/>
          <w:color w:val="auto"/>
          <w:w w:val="99"/>
          <w:sz w:val="24"/>
        </w:rPr>
        <w:t xml:space="preserve"> </w:t>
      </w:r>
    </w:p>
    <w:p>
      <w:pPr>
        <w:pStyle w:val="8"/>
        <w:spacing w:before="2"/>
        <w:rPr>
          <w:b/>
          <w:color w:val="auto"/>
          <w:sz w:val="20"/>
        </w:rPr>
      </w:pPr>
    </w:p>
    <w:p>
      <w:pPr>
        <w:pStyle w:val="8"/>
        <w:ind w:left="633"/>
        <w:rPr>
          <w:color w:val="auto"/>
        </w:rPr>
      </w:pPr>
      <w:r>
        <w:rPr>
          <w:color w:val="auto"/>
        </w:rPr>
        <w:t xml:space="preserve">采用通用合同条款该项中（B）款条文规定。 </w:t>
      </w:r>
    </w:p>
    <w:p>
      <w:pPr>
        <w:pStyle w:val="8"/>
        <w:spacing w:before="6"/>
        <w:rPr>
          <w:color w:val="auto"/>
          <w:sz w:val="15"/>
        </w:rPr>
      </w:pPr>
    </w:p>
    <w:p>
      <w:pPr>
        <w:pStyle w:val="8"/>
        <w:spacing w:before="1"/>
        <w:ind w:left="633"/>
        <w:rPr>
          <w:color w:val="auto"/>
        </w:rPr>
      </w:pPr>
      <w:r>
        <w:rPr>
          <w:color w:val="auto"/>
        </w:rPr>
        <w:t xml:space="preserve"> </w:t>
      </w:r>
    </w:p>
    <w:p>
      <w:pPr>
        <w:pStyle w:val="55"/>
        <w:spacing w:before="99"/>
        <w:ind w:left="212" w:firstLine="0"/>
        <w:rPr>
          <w:color w:val="auto"/>
        </w:rPr>
      </w:pPr>
      <w:bookmarkStart w:id="301" w:name="19__缺陷责任与保修责任"/>
      <w:bookmarkEnd w:id="301"/>
      <w:r>
        <w:rPr>
          <w:color w:val="auto"/>
        </w:rPr>
        <w:t>19 缺陷责任与保修责任</w:t>
      </w:r>
      <w:r>
        <w:rPr>
          <w:color w:val="auto"/>
          <w:w w:val="99"/>
        </w:rPr>
        <w:t xml:space="preserve"> </w:t>
      </w:r>
    </w:p>
    <w:p>
      <w:pPr>
        <w:spacing w:before="161"/>
        <w:ind w:left="212"/>
        <w:rPr>
          <w:b/>
          <w:color w:val="auto"/>
          <w:sz w:val="24"/>
        </w:rPr>
      </w:pPr>
      <w:bookmarkStart w:id="302" w:name="19.1缺陷责任期的起算时间"/>
      <w:bookmarkEnd w:id="302"/>
      <w:r>
        <w:rPr>
          <w:b/>
          <w:color w:val="auto"/>
          <w:sz w:val="24"/>
        </w:rPr>
        <w:t>19.1 缺陷责任期的起算时间</w:t>
      </w:r>
      <w:r>
        <w:rPr>
          <w:b/>
          <w:color w:val="auto"/>
          <w:w w:val="99"/>
          <w:sz w:val="24"/>
        </w:rPr>
        <w:t xml:space="preserve"> </w:t>
      </w:r>
    </w:p>
    <w:p>
      <w:pPr>
        <w:pStyle w:val="8"/>
        <w:spacing w:before="3"/>
        <w:rPr>
          <w:b/>
          <w:color w:val="auto"/>
          <w:sz w:val="20"/>
        </w:rPr>
      </w:pPr>
    </w:p>
    <w:p>
      <w:pPr>
        <w:pStyle w:val="8"/>
        <w:ind w:left="633"/>
        <w:rPr>
          <w:color w:val="auto"/>
        </w:rPr>
      </w:pPr>
      <w:r>
        <w:rPr>
          <w:color w:val="auto"/>
        </w:rPr>
        <w:t xml:space="preserve">本工程缺陷责任期期限：24 个月 </w:t>
      </w:r>
    </w:p>
    <w:p>
      <w:pPr>
        <w:pStyle w:val="55"/>
        <w:spacing w:before="100"/>
        <w:ind w:left="212" w:firstLine="0"/>
        <w:rPr>
          <w:color w:val="auto"/>
        </w:rPr>
      </w:pPr>
      <w:bookmarkStart w:id="303" w:name="19.7保修责任"/>
      <w:bookmarkEnd w:id="303"/>
      <w:r>
        <w:rPr>
          <w:color w:val="auto"/>
        </w:rPr>
        <w:t>19.7 保修责任</w:t>
      </w:r>
      <w:r>
        <w:rPr>
          <w:color w:val="auto"/>
          <w:w w:val="99"/>
        </w:rPr>
        <w:t xml:space="preserve"> </w:t>
      </w:r>
    </w:p>
    <w:p>
      <w:pPr>
        <w:pStyle w:val="8"/>
        <w:spacing w:before="2"/>
        <w:rPr>
          <w:b/>
          <w:color w:val="auto"/>
          <w:sz w:val="20"/>
        </w:rPr>
      </w:pPr>
    </w:p>
    <w:p>
      <w:pPr>
        <w:pStyle w:val="8"/>
        <w:ind w:left="633"/>
        <w:rPr>
          <w:color w:val="auto"/>
        </w:rPr>
      </w:pPr>
      <w:r>
        <w:rPr>
          <w:color w:val="auto"/>
        </w:rPr>
        <w:t xml:space="preserve">本合同工程的保修期为：按原建设部【2000】80 号令规定 </w:t>
      </w:r>
    </w:p>
    <w:p>
      <w:pPr>
        <w:pStyle w:val="8"/>
        <w:spacing w:before="6"/>
        <w:rPr>
          <w:color w:val="auto"/>
          <w:sz w:val="15"/>
        </w:rPr>
      </w:pPr>
    </w:p>
    <w:p>
      <w:pPr>
        <w:pStyle w:val="8"/>
        <w:spacing w:line="417" w:lineRule="auto"/>
        <w:ind w:left="212" w:right="426" w:firstLine="420"/>
        <w:rPr>
          <w:color w:val="auto"/>
        </w:rPr>
      </w:pPr>
      <w:r>
        <w:rPr>
          <w:color w:val="auto"/>
          <w:spacing w:val="-5"/>
        </w:rPr>
        <w:t>保修范围：包括地基基础工程、主体结构工程、和双方约定的其他土建工程，以及电气设备、工艺设</w:t>
      </w:r>
      <w:r>
        <w:rPr>
          <w:color w:val="auto"/>
          <w:spacing w:val="-4"/>
        </w:rPr>
        <w:t>备、电气管线、上下水管线的安装工程等本项目中所含的全部建设内容。</w:t>
      </w:r>
      <w:r>
        <w:rPr>
          <w:color w:val="auto"/>
        </w:rPr>
        <w:t xml:space="preserve"> </w:t>
      </w:r>
    </w:p>
    <w:p>
      <w:pPr>
        <w:pStyle w:val="8"/>
        <w:spacing w:line="269" w:lineRule="exact"/>
        <w:ind w:left="633"/>
        <w:rPr>
          <w:color w:val="auto"/>
        </w:rPr>
      </w:pPr>
      <w:r>
        <w:rPr>
          <w:color w:val="auto"/>
        </w:rPr>
        <w:t xml:space="preserve">保修责任：由承包人负责并承担相关的一切费用。 </w:t>
      </w:r>
    </w:p>
    <w:p>
      <w:pPr>
        <w:pStyle w:val="8"/>
        <w:spacing w:before="7"/>
        <w:rPr>
          <w:color w:val="auto"/>
          <w:sz w:val="15"/>
        </w:rPr>
      </w:pPr>
    </w:p>
    <w:p>
      <w:pPr>
        <w:pStyle w:val="8"/>
        <w:ind w:left="633"/>
        <w:rPr>
          <w:color w:val="auto"/>
        </w:rPr>
      </w:pPr>
      <w:r>
        <w:rPr>
          <w:color w:val="auto"/>
        </w:rPr>
        <w:t xml:space="preserve"> </w:t>
      </w:r>
    </w:p>
    <w:p>
      <w:pPr>
        <w:rPr>
          <w:color w:val="auto"/>
        </w:rPr>
        <w:sectPr>
          <w:pgSz w:w="11910" w:h="16840"/>
          <w:pgMar w:top="1460" w:right="700" w:bottom="1180" w:left="920" w:header="0" w:footer="995" w:gutter="0"/>
          <w:pgNumType w:fmt="decimal"/>
          <w:cols w:space="720" w:num="1"/>
        </w:sectPr>
      </w:pPr>
    </w:p>
    <w:p>
      <w:pPr>
        <w:pStyle w:val="55"/>
        <w:spacing w:before="45"/>
        <w:ind w:left="212" w:firstLine="0"/>
        <w:rPr>
          <w:color w:val="auto"/>
        </w:rPr>
      </w:pPr>
      <w:bookmarkStart w:id="304" w:name="20__保险"/>
      <w:bookmarkEnd w:id="304"/>
      <w:r>
        <w:rPr>
          <w:color w:val="auto"/>
        </w:rPr>
        <w:t>20 保 险</w:t>
      </w:r>
      <w:r>
        <w:rPr>
          <w:color w:val="auto"/>
          <w:w w:val="99"/>
        </w:rPr>
        <w:t xml:space="preserve"> </w:t>
      </w:r>
    </w:p>
    <w:p>
      <w:pPr>
        <w:pStyle w:val="44"/>
        <w:numPr>
          <w:ilvl w:val="1"/>
          <w:numId w:val="85"/>
        </w:numPr>
        <w:tabs>
          <w:tab w:val="left" w:pos="759"/>
        </w:tabs>
        <w:spacing w:before="159"/>
        <w:ind w:hanging="547"/>
        <w:rPr>
          <w:b/>
          <w:color w:val="auto"/>
          <w:sz w:val="24"/>
        </w:rPr>
      </w:pPr>
      <w:bookmarkStart w:id="305" w:name="20.1设计和工程保险"/>
      <w:bookmarkEnd w:id="305"/>
      <w:r>
        <w:rPr>
          <w:b/>
          <w:color w:val="auto"/>
          <w:sz w:val="24"/>
        </w:rPr>
        <w:t>设计和工程保险</w:t>
      </w:r>
      <w:r>
        <w:rPr>
          <w:b/>
          <w:color w:val="auto"/>
          <w:w w:val="99"/>
          <w:sz w:val="24"/>
        </w:rPr>
        <w:t xml:space="preserve"> </w:t>
      </w:r>
    </w:p>
    <w:p>
      <w:pPr>
        <w:pStyle w:val="8"/>
        <w:spacing w:before="3"/>
        <w:rPr>
          <w:b/>
          <w:color w:val="auto"/>
          <w:sz w:val="20"/>
        </w:rPr>
      </w:pPr>
    </w:p>
    <w:p>
      <w:pPr>
        <w:pStyle w:val="44"/>
        <w:numPr>
          <w:ilvl w:val="2"/>
          <w:numId w:val="85"/>
        </w:numPr>
        <w:tabs>
          <w:tab w:val="left" w:pos="1268"/>
        </w:tabs>
        <w:spacing w:before="1" w:line="417" w:lineRule="auto"/>
        <w:ind w:right="431" w:firstLine="420"/>
        <w:rPr>
          <w:color w:val="auto"/>
          <w:sz w:val="21"/>
        </w:rPr>
      </w:pPr>
      <w:r>
        <w:rPr>
          <w:color w:val="auto"/>
          <w:spacing w:val="-4"/>
          <w:sz w:val="21"/>
        </w:rPr>
        <w:t>承包人应负责投保建设工程设计责任险、建筑工程一切险和</w:t>
      </w:r>
      <w:r>
        <w:rPr>
          <w:color w:val="auto"/>
          <w:sz w:val="21"/>
        </w:rPr>
        <w:t>/</w:t>
      </w:r>
      <w:r>
        <w:rPr>
          <w:color w:val="auto"/>
          <w:spacing w:val="-5"/>
          <w:sz w:val="21"/>
        </w:rPr>
        <w:t>或安装工程一切险，其保险费应</w:t>
      </w:r>
      <w:r>
        <w:rPr>
          <w:color w:val="auto"/>
          <w:spacing w:val="-4"/>
          <w:sz w:val="21"/>
        </w:rPr>
        <w:t xml:space="preserve">分摊包括在合同单价或合同总价中。 </w:t>
      </w:r>
    </w:p>
    <w:p>
      <w:pPr>
        <w:pStyle w:val="44"/>
        <w:numPr>
          <w:ilvl w:val="2"/>
          <w:numId w:val="85"/>
        </w:numPr>
        <w:tabs>
          <w:tab w:val="left" w:pos="1268"/>
        </w:tabs>
        <w:spacing w:line="417" w:lineRule="auto"/>
        <w:ind w:right="434" w:firstLine="420"/>
        <w:rPr>
          <w:color w:val="auto"/>
          <w:sz w:val="21"/>
        </w:rPr>
      </w:pPr>
      <w:r>
        <w:rPr>
          <w:color w:val="auto"/>
          <w:spacing w:val="-1"/>
          <w:sz w:val="21"/>
        </w:rPr>
        <w:t xml:space="preserve">第三者责任险由承包人自行确定是否投保。保险期限：至项目完工。第三者责任险如投保， </w:t>
      </w:r>
      <w:r>
        <w:rPr>
          <w:color w:val="auto"/>
          <w:spacing w:val="-3"/>
          <w:sz w:val="21"/>
        </w:rPr>
        <w:t>保险费应分摊包括在合同单价或合同总价中。</w:t>
      </w:r>
      <w:r>
        <w:rPr>
          <w:color w:val="auto"/>
          <w:sz w:val="21"/>
        </w:rPr>
        <w:t xml:space="preserve"> </w:t>
      </w:r>
    </w:p>
    <w:p>
      <w:pPr>
        <w:pStyle w:val="8"/>
        <w:spacing w:line="417" w:lineRule="auto"/>
        <w:ind w:left="212" w:right="426" w:firstLine="420"/>
        <w:jc w:val="both"/>
        <w:rPr>
          <w:color w:val="auto"/>
        </w:rPr>
      </w:pPr>
      <w:r>
        <w:rPr>
          <w:color w:val="auto"/>
        </w:rPr>
        <w:t>由于发包人责任造成在其管辖区内发包人和承包人以及第三者人员的人身伤害和财产损失由发包人</w:t>
      </w:r>
      <w:r>
        <w:rPr>
          <w:color w:val="auto"/>
          <w:spacing w:val="-6"/>
        </w:rPr>
        <w:t>负责赔偿；由于承包人责任造成在其管辖区内发包人和承包人以及第三者人员的人身伤害和财产损失由承</w:t>
      </w:r>
      <w:r>
        <w:rPr>
          <w:color w:val="auto"/>
          <w:spacing w:val="-7"/>
        </w:rPr>
        <w:t>包人负责赔偿；由于发包人和承包人共同责任造成在其管辖区内发包人和承包人以及第三者人员的人身伤</w:t>
      </w:r>
    </w:p>
    <w:p>
      <w:pPr>
        <w:pStyle w:val="8"/>
        <w:ind w:left="212"/>
        <w:rPr>
          <w:color w:val="auto"/>
        </w:rPr>
      </w:pPr>
      <w:r>
        <w:rPr>
          <w:color w:val="auto"/>
        </w:rPr>
        <w:t xml:space="preserve">害和财产损失由监理机构组织发包人和承包人共同协商负责赔偿。 </w:t>
      </w:r>
    </w:p>
    <w:p>
      <w:pPr>
        <w:pStyle w:val="8"/>
        <w:spacing w:before="100"/>
        <w:ind w:left="633"/>
        <w:rPr>
          <w:color w:val="auto"/>
        </w:rPr>
      </w:pPr>
      <w:r>
        <w:rPr>
          <w:color w:val="auto"/>
        </w:rPr>
        <w:t xml:space="preserve"> </w:t>
      </w:r>
    </w:p>
    <w:p>
      <w:pPr>
        <w:pStyle w:val="55"/>
        <w:numPr>
          <w:ilvl w:val="1"/>
          <w:numId w:val="86"/>
        </w:numPr>
        <w:tabs>
          <w:tab w:val="left" w:pos="759"/>
        </w:tabs>
        <w:spacing w:before="137"/>
        <w:ind w:hanging="547"/>
        <w:rPr>
          <w:color w:val="auto"/>
        </w:rPr>
      </w:pPr>
      <w:bookmarkStart w:id="306" w:name="20.4其它保险"/>
      <w:bookmarkEnd w:id="306"/>
      <w:r>
        <w:rPr>
          <w:color w:val="auto"/>
        </w:rPr>
        <w:t>其它保险</w:t>
      </w:r>
      <w:r>
        <w:rPr>
          <w:color w:val="auto"/>
          <w:w w:val="99"/>
        </w:rPr>
        <w:t xml:space="preserve"> </w:t>
      </w:r>
    </w:p>
    <w:p>
      <w:pPr>
        <w:pStyle w:val="8"/>
        <w:spacing w:before="60" w:line="470" w:lineRule="atLeast"/>
        <w:ind w:left="633" w:right="2719"/>
        <w:rPr>
          <w:color w:val="auto"/>
        </w:rPr>
      </w:pPr>
      <w:r>
        <w:rPr>
          <w:color w:val="auto"/>
          <w:spacing w:val="-3"/>
        </w:rPr>
        <w:t>需要投保的其它内容： 由承包人自行确定是否投保，并承担相关费用 ； 保险金额、保险费率： 承包人自行决定 。保险期限：至项目完工。</w:t>
      </w:r>
      <w:r>
        <w:rPr>
          <w:color w:val="auto"/>
        </w:rPr>
        <w:t xml:space="preserve"> </w:t>
      </w:r>
    </w:p>
    <w:p>
      <w:pPr>
        <w:pStyle w:val="55"/>
        <w:numPr>
          <w:ilvl w:val="1"/>
          <w:numId w:val="86"/>
        </w:numPr>
        <w:tabs>
          <w:tab w:val="left" w:pos="759"/>
        </w:tabs>
        <w:spacing w:before="97"/>
        <w:ind w:hanging="547"/>
        <w:rPr>
          <w:color w:val="auto"/>
        </w:rPr>
      </w:pPr>
      <w:bookmarkStart w:id="307" w:name="20.5对各项保险的一般要求"/>
      <w:bookmarkEnd w:id="307"/>
      <w:r>
        <w:rPr>
          <w:color w:val="auto"/>
        </w:rPr>
        <w:t>对各项保险的一般要求</w:t>
      </w:r>
      <w:r>
        <w:rPr>
          <w:color w:val="auto"/>
          <w:w w:val="99"/>
        </w:rPr>
        <w:t xml:space="preserve"> </w:t>
      </w:r>
    </w:p>
    <w:p>
      <w:pPr>
        <w:pStyle w:val="8"/>
        <w:spacing w:before="1"/>
        <w:rPr>
          <w:b/>
          <w:color w:val="auto"/>
          <w:sz w:val="20"/>
        </w:rPr>
      </w:pPr>
    </w:p>
    <w:p>
      <w:pPr>
        <w:pStyle w:val="44"/>
        <w:numPr>
          <w:ilvl w:val="2"/>
          <w:numId w:val="86"/>
        </w:numPr>
        <w:tabs>
          <w:tab w:val="left" w:pos="1268"/>
        </w:tabs>
        <w:rPr>
          <w:color w:val="auto"/>
          <w:sz w:val="21"/>
        </w:rPr>
      </w:pPr>
      <w:r>
        <w:rPr>
          <w:color w:val="auto"/>
          <w:spacing w:val="-3"/>
          <w:sz w:val="21"/>
        </w:rPr>
        <w:t>保险凭证</w:t>
      </w:r>
      <w:r>
        <w:rPr>
          <w:color w:val="auto"/>
          <w:sz w:val="21"/>
        </w:rPr>
        <w:t xml:space="preserve"> </w:t>
      </w:r>
    </w:p>
    <w:p>
      <w:pPr>
        <w:pStyle w:val="8"/>
        <w:spacing w:before="7"/>
        <w:rPr>
          <w:color w:val="auto"/>
          <w:sz w:val="15"/>
        </w:rPr>
      </w:pPr>
    </w:p>
    <w:p>
      <w:pPr>
        <w:pStyle w:val="8"/>
        <w:spacing w:line="417" w:lineRule="auto"/>
        <w:ind w:left="633" w:right="4291"/>
        <w:rPr>
          <w:color w:val="auto"/>
        </w:rPr>
      </w:pPr>
      <w:r>
        <w:rPr>
          <w:color w:val="auto"/>
        </w:rPr>
        <w:t xml:space="preserve">承包人提交保险凭证的期限： 开工令发布后 14 天内  。保险条件： 保单副本 ； </w:t>
      </w:r>
    </w:p>
    <w:p>
      <w:pPr>
        <w:pStyle w:val="8"/>
        <w:spacing w:line="269" w:lineRule="exact"/>
        <w:ind w:left="633"/>
        <w:rPr>
          <w:color w:val="auto"/>
        </w:rPr>
      </w:pPr>
      <w:r>
        <w:rPr>
          <w:color w:val="auto"/>
        </w:rPr>
        <w:t xml:space="preserve">20.5.4 保险金不足的补偿 </w:t>
      </w:r>
    </w:p>
    <w:p>
      <w:pPr>
        <w:pStyle w:val="8"/>
        <w:spacing w:before="8" w:line="460" w:lineRule="atLeast"/>
        <w:ind w:left="633" w:right="3347"/>
        <w:rPr>
          <w:color w:val="auto"/>
        </w:rPr>
      </w:pPr>
      <w:r>
        <w:rPr>
          <w:color w:val="auto"/>
          <w:spacing w:val="-3"/>
        </w:rPr>
        <w:t>承包人负责补偿的范围与金额： 由承包人自行承担所有的费用 ； 发包人负责补偿的范围与金额：</w:t>
      </w:r>
      <w:r>
        <w:rPr>
          <w:color w:val="auto"/>
          <w:spacing w:val="-1"/>
          <w:u w:val="single"/>
        </w:rPr>
        <w:t xml:space="preserve"> 无 </w:t>
      </w:r>
      <w:r>
        <w:rPr>
          <w:color w:val="auto"/>
          <w:spacing w:val="-3"/>
        </w:rPr>
        <w:t>。</w:t>
      </w:r>
      <w:r>
        <w:rPr>
          <w:color w:val="auto"/>
        </w:rPr>
        <w:t xml:space="preserve"> </w:t>
      </w:r>
    </w:p>
    <w:p>
      <w:pPr>
        <w:pStyle w:val="55"/>
        <w:spacing w:before="108"/>
        <w:ind w:left="212" w:firstLine="0"/>
        <w:rPr>
          <w:color w:val="auto"/>
        </w:rPr>
      </w:pPr>
      <w:bookmarkStart w:id="308" w:name="24__争议的解决"/>
      <w:bookmarkEnd w:id="308"/>
      <w:r>
        <w:rPr>
          <w:color w:val="auto"/>
        </w:rPr>
        <w:t>24 争议的解决</w:t>
      </w:r>
      <w:r>
        <w:rPr>
          <w:color w:val="auto"/>
          <w:w w:val="99"/>
        </w:rPr>
        <w:t xml:space="preserve"> </w:t>
      </w:r>
    </w:p>
    <w:p>
      <w:pPr>
        <w:spacing w:before="160"/>
        <w:ind w:left="212"/>
        <w:rPr>
          <w:b/>
          <w:color w:val="auto"/>
          <w:sz w:val="24"/>
        </w:rPr>
      </w:pPr>
      <w:bookmarkStart w:id="309" w:name="24.1争议的解决方式"/>
      <w:bookmarkEnd w:id="309"/>
      <w:r>
        <w:rPr>
          <w:b/>
          <w:color w:val="auto"/>
          <w:sz w:val="24"/>
        </w:rPr>
        <w:t>24.1 争议的解决方式</w:t>
      </w:r>
      <w:r>
        <w:rPr>
          <w:b/>
          <w:color w:val="auto"/>
          <w:w w:val="99"/>
          <w:sz w:val="24"/>
        </w:rPr>
        <w:t xml:space="preserve"> </w:t>
      </w:r>
    </w:p>
    <w:p>
      <w:pPr>
        <w:pStyle w:val="8"/>
        <w:spacing w:before="58" w:line="470" w:lineRule="atLeast"/>
        <w:ind w:left="212" w:right="426" w:firstLine="420"/>
        <w:rPr>
          <w:color w:val="auto"/>
        </w:rPr>
      </w:pPr>
      <w:r>
        <w:rPr>
          <w:color w:val="auto"/>
          <w:spacing w:val="-5"/>
        </w:rPr>
        <w:t>合同当事人友好协商解决不成、不愿提请争议评审或不接受争议评审组意见的，约定的合同争议解决</w:t>
      </w:r>
      <w:r>
        <w:rPr>
          <w:color w:val="auto"/>
          <w:spacing w:val="-3"/>
        </w:rPr>
        <w:t>方式： 诉讼 。双方一致同意将该争议提交平江县人民法院。</w:t>
      </w:r>
      <w:r>
        <w:rPr>
          <w:color w:val="auto"/>
        </w:rPr>
        <w:t xml:space="preserve"> </w:t>
      </w:r>
    </w:p>
    <w:p>
      <w:pPr>
        <w:pStyle w:val="55"/>
        <w:numPr>
          <w:ilvl w:val="0"/>
          <w:numId w:val="87"/>
        </w:numPr>
        <w:tabs>
          <w:tab w:val="left" w:pos="516"/>
        </w:tabs>
        <w:spacing w:before="97"/>
        <w:ind w:hanging="304"/>
        <w:rPr>
          <w:color w:val="auto"/>
        </w:rPr>
      </w:pPr>
      <w:bookmarkStart w:id="310" w:name="25其他"/>
      <w:bookmarkEnd w:id="310"/>
      <w:r>
        <w:rPr>
          <w:color w:val="auto"/>
        </w:rPr>
        <w:t>其他</w:t>
      </w:r>
      <w:r>
        <w:rPr>
          <w:color w:val="auto"/>
          <w:w w:val="99"/>
        </w:rPr>
        <w:t xml:space="preserve"> </w:t>
      </w:r>
    </w:p>
    <w:p>
      <w:pPr>
        <w:pStyle w:val="8"/>
        <w:spacing w:before="4"/>
        <w:rPr>
          <w:b/>
          <w:color w:val="auto"/>
          <w:sz w:val="20"/>
        </w:rPr>
      </w:pPr>
    </w:p>
    <w:p>
      <w:pPr>
        <w:pStyle w:val="44"/>
        <w:numPr>
          <w:ilvl w:val="1"/>
          <w:numId w:val="87"/>
        </w:numPr>
        <w:tabs>
          <w:tab w:val="left" w:pos="1106"/>
        </w:tabs>
        <w:spacing w:line="417" w:lineRule="auto"/>
        <w:ind w:right="428" w:firstLine="420"/>
        <w:rPr>
          <w:color w:val="auto"/>
          <w:sz w:val="21"/>
        </w:rPr>
      </w:pPr>
      <w:r>
        <w:rPr>
          <w:color w:val="auto"/>
          <w:spacing w:val="-5"/>
          <w:sz w:val="21"/>
        </w:rPr>
        <w:t xml:space="preserve">投标人中标后参与本工程施工的实际到场施工管理人员不得少于 </w:t>
      </w:r>
      <w:r>
        <w:rPr>
          <w:color w:val="auto"/>
          <w:sz w:val="21"/>
        </w:rPr>
        <w:t>5</w:t>
      </w:r>
      <w:r>
        <w:rPr>
          <w:color w:val="auto"/>
          <w:spacing w:val="-37"/>
          <w:sz w:val="21"/>
        </w:rPr>
        <w:t xml:space="preserve"> 人</w:t>
      </w:r>
      <w:r>
        <w:rPr>
          <w:color w:val="auto"/>
          <w:spacing w:val="-3"/>
          <w:sz w:val="21"/>
        </w:rPr>
        <w:t>（</w:t>
      </w:r>
      <w:r>
        <w:rPr>
          <w:color w:val="auto"/>
          <w:spacing w:val="-7"/>
          <w:sz w:val="21"/>
        </w:rPr>
        <w:t>施工负责人、施工技术负</w:t>
      </w:r>
      <w:r>
        <w:rPr>
          <w:color w:val="auto"/>
          <w:spacing w:val="-5"/>
          <w:sz w:val="21"/>
        </w:rPr>
        <w:t>责人、安全员、施工员、质量员</w:t>
      </w:r>
      <w:r>
        <w:rPr>
          <w:color w:val="auto"/>
          <w:sz w:val="21"/>
        </w:rPr>
        <w:t xml:space="preserve">）。 </w:t>
      </w:r>
    </w:p>
    <w:p>
      <w:pPr>
        <w:pStyle w:val="44"/>
        <w:numPr>
          <w:ilvl w:val="1"/>
          <w:numId w:val="87"/>
        </w:numPr>
        <w:tabs>
          <w:tab w:val="left" w:pos="1106"/>
        </w:tabs>
        <w:spacing w:line="269" w:lineRule="exact"/>
        <w:ind w:left="1106"/>
        <w:rPr>
          <w:color w:val="auto"/>
          <w:sz w:val="21"/>
        </w:rPr>
      </w:pPr>
      <w:r>
        <w:rPr>
          <w:color w:val="auto"/>
          <w:spacing w:val="-3"/>
          <w:sz w:val="21"/>
        </w:rPr>
        <w:t>本项目结算价最终以招标人认定审计审定的价格为准。</w:t>
      </w:r>
      <w:r>
        <w:rPr>
          <w:color w:val="auto"/>
          <w:sz w:val="21"/>
        </w:rPr>
        <w:t xml:space="preserve"> </w:t>
      </w:r>
    </w:p>
    <w:p>
      <w:pPr>
        <w:pStyle w:val="8"/>
        <w:spacing w:before="6"/>
        <w:rPr>
          <w:color w:val="auto"/>
          <w:sz w:val="15"/>
        </w:rPr>
      </w:pPr>
    </w:p>
    <w:p>
      <w:pPr>
        <w:pStyle w:val="44"/>
        <w:numPr>
          <w:ilvl w:val="1"/>
          <w:numId w:val="87"/>
        </w:numPr>
        <w:tabs>
          <w:tab w:val="left" w:pos="1106"/>
        </w:tabs>
        <w:spacing w:before="1"/>
        <w:ind w:left="1106"/>
        <w:rPr>
          <w:color w:val="auto"/>
          <w:sz w:val="21"/>
        </w:rPr>
      </w:pPr>
      <w:r>
        <w:rPr>
          <w:color w:val="auto"/>
          <w:spacing w:val="-15"/>
          <w:sz w:val="21"/>
        </w:rPr>
        <w:t>经双方协商约定，承包人不得拖欠农民工工资或相关材料款，因拖欠农民工工资或其他相关款项，</w:t>
      </w:r>
    </w:p>
    <w:p>
      <w:pPr>
        <w:rPr>
          <w:color w:val="auto"/>
          <w:sz w:val="21"/>
        </w:rPr>
        <w:sectPr>
          <w:footerReference r:id="rId31" w:type="default"/>
          <w:pgSz w:w="11910" w:h="16840"/>
          <w:pgMar w:top="1460" w:right="700" w:bottom="1180" w:left="920" w:header="0" w:footer="995" w:gutter="0"/>
          <w:pgNumType w:fmt="decimal"/>
          <w:cols w:space="720" w:num="1"/>
        </w:sectPr>
      </w:pPr>
    </w:p>
    <w:p>
      <w:pPr>
        <w:pStyle w:val="8"/>
        <w:spacing w:before="45"/>
        <w:ind w:left="212"/>
        <w:rPr>
          <w:color w:val="auto"/>
        </w:rPr>
      </w:pPr>
      <w:r>
        <w:rPr>
          <w:color w:val="auto"/>
        </w:rPr>
        <w:t xml:space="preserve">造成的一切后果均由承包人承担。 </w:t>
      </w:r>
    </w:p>
    <w:p>
      <w:pPr>
        <w:pStyle w:val="8"/>
        <w:spacing w:before="7"/>
        <w:rPr>
          <w:color w:val="auto"/>
          <w:sz w:val="15"/>
        </w:rPr>
      </w:pPr>
    </w:p>
    <w:p>
      <w:pPr>
        <w:pStyle w:val="44"/>
        <w:numPr>
          <w:ilvl w:val="1"/>
          <w:numId w:val="87"/>
        </w:numPr>
        <w:tabs>
          <w:tab w:val="left" w:pos="1106"/>
        </w:tabs>
        <w:ind w:left="1106"/>
        <w:rPr>
          <w:color w:val="auto"/>
          <w:sz w:val="21"/>
        </w:rPr>
      </w:pPr>
      <w:r>
        <w:rPr>
          <w:color w:val="auto"/>
          <w:spacing w:val="-3"/>
          <w:sz w:val="21"/>
        </w:rPr>
        <w:t>材料检测费、主体检测费由承包人支付。</w:t>
      </w:r>
      <w:r>
        <w:rPr>
          <w:color w:val="auto"/>
          <w:sz w:val="21"/>
        </w:rPr>
        <w:t xml:space="preserve"> </w:t>
      </w:r>
    </w:p>
    <w:p>
      <w:pPr>
        <w:pStyle w:val="8"/>
        <w:spacing w:before="7"/>
        <w:rPr>
          <w:color w:val="auto"/>
          <w:sz w:val="15"/>
        </w:rPr>
      </w:pPr>
    </w:p>
    <w:p>
      <w:pPr>
        <w:pStyle w:val="8"/>
        <w:rPr>
          <w:b/>
          <w:color w:val="auto"/>
          <w:sz w:val="20"/>
        </w:rPr>
        <w:sectPr>
          <w:pgSz w:w="11910" w:h="16840"/>
          <w:pgMar w:top="1580" w:right="700" w:bottom="1180" w:left="920" w:header="0" w:footer="995" w:gutter="0"/>
          <w:cols w:space="720" w:num="1"/>
        </w:sectPr>
      </w:pPr>
      <w:r>
        <w:rPr>
          <w:color w:val="auto"/>
          <w:spacing w:val="-3"/>
          <w:sz w:val="21"/>
        </w:rPr>
        <w:t>承包人必须遵守平江县人民政府建设工程项目有关的所有规定。</w:t>
      </w:r>
    </w:p>
    <w:p>
      <w:pPr>
        <w:pStyle w:val="8"/>
        <w:rPr>
          <w:b/>
          <w:color w:val="auto"/>
          <w:sz w:val="20"/>
        </w:rPr>
      </w:pPr>
    </w:p>
    <w:p>
      <w:pPr>
        <w:pStyle w:val="8"/>
        <w:spacing w:before="7"/>
        <w:rPr>
          <w:b/>
          <w:color w:val="auto"/>
          <w:sz w:val="16"/>
        </w:rPr>
      </w:pPr>
    </w:p>
    <w:p>
      <w:pPr>
        <w:pStyle w:val="8"/>
        <w:spacing w:before="1"/>
        <w:ind w:left="633"/>
        <w:rPr>
          <w:color w:val="auto"/>
        </w:rPr>
      </w:pPr>
      <w:r>
        <w:rPr>
          <w:color w:val="auto"/>
        </w:rPr>
        <w:t xml:space="preserve"> </w:t>
      </w:r>
    </w:p>
    <w:p>
      <w:pPr>
        <w:pStyle w:val="8"/>
        <w:spacing w:before="5"/>
        <w:rPr>
          <w:color w:val="auto"/>
          <w:sz w:val="13"/>
        </w:rPr>
      </w:pPr>
    </w:p>
    <w:p>
      <w:pPr>
        <w:pStyle w:val="8"/>
        <w:spacing w:before="7"/>
        <w:rPr>
          <w:color w:val="auto"/>
          <w:sz w:val="18"/>
        </w:rPr>
      </w:pPr>
      <w:bookmarkStart w:id="311" w:name="1__一般约定"/>
      <w:bookmarkEnd w:id="311"/>
    </w:p>
    <w:p>
      <w:pPr>
        <w:pStyle w:val="37"/>
        <w:spacing w:before="54"/>
        <w:ind w:left="2" w:right="223"/>
        <w:jc w:val="center"/>
        <w:rPr>
          <w:color w:val="auto"/>
        </w:rPr>
      </w:pPr>
      <w:bookmarkStart w:id="312" w:name="第三节_合同附件格式"/>
      <w:bookmarkEnd w:id="312"/>
      <w:r>
        <w:rPr>
          <w:color w:val="auto"/>
        </w:rPr>
        <w:t>第三节 合同附件格式</w:t>
      </w:r>
    </w:p>
    <w:p>
      <w:pPr>
        <w:jc w:val="center"/>
        <w:rPr>
          <w:color w:val="auto"/>
        </w:rPr>
        <w:sectPr>
          <w:footerReference r:id="rId32" w:type="default"/>
          <w:pgSz w:w="11910" w:h="16840"/>
          <w:pgMar w:top="1580" w:right="700" w:bottom="1180" w:left="920" w:header="0" w:footer="995" w:gutter="0"/>
          <w:cols w:space="720" w:num="1"/>
        </w:sectPr>
      </w:pPr>
    </w:p>
    <w:p>
      <w:pPr>
        <w:pStyle w:val="8"/>
        <w:rPr>
          <w:b/>
          <w:color w:val="auto"/>
          <w:sz w:val="20"/>
        </w:rPr>
      </w:pPr>
    </w:p>
    <w:p>
      <w:pPr>
        <w:pStyle w:val="8"/>
        <w:spacing w:before="11"/>
        <w:rPr>
          <w:b/>
          <w:color w:val="auto"/>
          <w:sz w:val="17"/>
        </w:rPr>
      </w:pPr>
    </w:p>
    <w:p>
      <w:pPr>
        <w:pStyle w:val="41"/>
        <w:ind w:left="669" w:firstLine="0"/>
        <w:rPr>
          <w:color w:val="auto"/>
        </w:rPr>
      </w:pPr>
      <w:bookmarkStart w:id="313" w:name="附件一：合同协议书"/>
      <w:bookmarkEnd w:id="313"/>
      <w:r>
        <w:rPr>
          <w:color w:val="auto"/>
        </w:rPr>
        <w:t>附件一：合同协议书</w:t>
      </w:r>
    </w:p>
    <w:p>
      <w:pPr>
        <w:pStyle w:val="8"/>
        <w:rPr>
          <w:b/>
          <w:color w:val="auto"/>
          <w:sz w:val="20"/>
        </w:rPr>
      </w:pPr>
    </w:p>
    <w:p>
      <w:pPr>
        <w:pStyle w:val="8"/>
        <w:rPr>
          <w:b/>
          <w:color w:val="auto"/>
          <w:sz w:val="20"/>
        </w:rPr>
      </w:pPr>
    </w:p>
    <w:p>
      <w:pPr>
        <w:spacing w:before="237"/>
        <w:ind w:left="622" w:right="883"/>
        <w:jc w:val="center"/>
        <w:rPr>
          <w:rFonts w:ascii="黑体" w:eastAsia="黑体"/>
          <w:color w:val="auto"/>
          <w:sz w:val="28"/>
        </w:rPr>
      </w:pPr>
      <w:r>
        <w:rPr>
          <w:rFonts w:hint="eastAsia" w:ascii="黑体" w:eastAsia="黑体"/>
          <w:color w:val="auto"/>
          <w:sz w:val="28"/>
        </w:rPr>
        <w:t>合同协议书</w:t>
      </w:r>
    </w:p>
    <w:p>
      <w:pPr>
        <w:pStyle w:val="8"/>
        <w:rPr>
          <w:rFonts w:ascii="黑体"/>
          <w:color w:val="auto"/>
          <w:sz w:val="28"/>
        </w:rPr>
      </w:pPr>
    </w:p>
    <w:p>
      <w:pPr>
        <w:pStyle w:val="8"/>
        <w:tabs>
          <w:tab w:val="left" w:pos="2930"/>
          <w:tab w:val="left" w:pos="3302"/>
          <w:tab w:val="left" w:pos="8117"/>
        </w:tabs>
        <w:spacing w:before="233" w:line="391" w:lineRule="auto"/>
        <w:ind w:left="669" w:right="824" w:firstLine="345"/>
        <w:rPr>
          <w:color w:val="auto"/>
        </w:rPr>
      </w:pP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spacing w:val="-10"/>
        </w:rPr>
        <w:t>（发包人名称</w:t>
      </w:r>
      <w:r>
        <w:rPr>
          <w:color w:val="auto"/>
          <w:spacing w:val="-89"/>
        </w:rPr>
        <w:t>，</w:t>
      </w:r>
      <w:r>
        <w:rPr>
          <w:color w:val="auto"/>
          <w:spacing w:val="-10"/>
        </w:rPr>
        <w:t>以下简</w:t>
      </w:r>
      <w:r>
        <w:rPr>
          <w:color w:val="auto"/>
          <w:spacing w:val="-9"/>
        </w:rPr>
        <w:t>称</w:t>
      </w:r>
      <w:r>
        <w:rPr>
          <w:rFonts w:ascii="Times New Roman" w:hAnsi="Times New Roman" w:eastAsia="Times New Roman"/>
          <w:color w:val="auto"/>
          <w:spacing w:val="-5"/>
        </w:rPr>
        <w:t>“</w:t>
      </w:r>
      <w:r>
        <w:rPr>
          <w:color w:val="auto"/>
          <w:spacing w:val="-10"/>
        </w:rPr>
        <w:t>发包人</w:t>
      </w:r>
      <w:r>
        <w:rPr>
          <w:rFonts w:ascii="Times New Roman" w:hAnsi="Times New Roman" w:eastAsia="Times New Roman"/>
          <w:color w:val="auto"/>
          <w:spacing w:val="-5"/>
        </w:rPr>
        <w:t>”</w:t>
      </w:r>
      <w:r>
        <w:rPr>
          <w:color w:val="auto"/>
          <w:spacing w:val="-89"/>
        </w:rPr>
        <w:t>）</w:t>
      </w:r>
      <w:r>
        <w:rPr>
          <w:color w:val="auto"/>
          <w:spacing w:val="-10"/>
        </w:rPr>
        <w:t>为实</w:t>
      </w:r>
      <w:r>
        <w:rPr>
          <w:color w:val="auto"/>
          <w:spacing w:val="-8"/>
        </w:rPr>
        <w:t>施</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spacing w:val="-10"/>
          <w:u w:val="single"/>
        </w:rPr>
        <w:t>（</w:t>
      </w:r>
      <w:r>
        <w:rPr>
          <w:color w:val="auto"/>
          <w:spacing w:val="-10"/>
        </w:rPr>
        <w:t>项目名称</w:t>
      </w:r>
      <w:r>
        <w:rPr>
          <w:color w:val="auto"/>
          <w:spacing w:val="-96"/>
        </w:rPr>
        <w:t>）</w:t>
      </w:r>
      <w:r>
        <w:rPr>
          <w:color w:val="auto"/>
          <w:spacing w:val="-7"/>
        </w:rPr>
        <w:t>，</w:t>
      </w:r>
      <w:r>
        <w:rPr>
          <w:color w:val="auto"/>
          <w:spacing w:val="-8"/>
        </w:rPr>
        <w:t>已</w:t>
      </w:r>
      <w:r>
        <w:rPr>
          <w:color w:val="auto"/>
          <w:spacing w:val="-10"/>
        </w:rPr>
        <w:t>接</w:t>
      </w:r>
      <w:r>
        <w:rPr>
          <w:color w:val="auto"/>
          <w:spacing w:val="-8"/>
        </w:rPr>
        <w:t>受</w:t>
      </w:r>
      <w:r>
        <w:rPr>
          <w:color w:val="auto"/>
          <w:spacing w:val="-8"/>
          <w:u w:val="single"/>
        </w:rPr>
        <w:t xml:space="preserve"> </w:t>
      </w:r>
      <w:r>
        <w:rPr>
          <w:color w:val="auto"/>
          <w:spacing w:val="-8"/>
          <w:u w:val="single"/>
        </w:rPr>
        <w:tab/>
      </w:r>
      <w:r>
        <w:rPr>
          <w:color w:val="auto"/>
          <w:spacing w:val="-8"/>
          <w:u w:val="single"/>
        </w:rPr>
        <w:tab/>
      </w:r>
      <w:r>
        <w:rPr>
          <w:color w:val="auto"/>
          <w:spacing w:val="-8"/>
        </w:rPr>
        <w:t>（</w:t>
      </w:r>
      <w:r>
        <w:rPr>
          <w:color w:val="auto"/>
          <w:spacing w:val="-10"/>
        </w:rPr>
        <w:t>承</w:t>
      </w:r>
      <w:r>
        <w:rPr>
          <w:color w:val="auto"/>
          <w:spacing w:val="-8"/>
        </w:rPr>
        <w:t>包</w:t>
      </w:r>
      <w:r>
        <w:rPr>
          <w:color w:val="auto"/>
          <w:spacing w:val="-10"/>
        </w:rPr>
        <w:t>人名称</w:t>
      </w:r>
      <w:r>
        <w:rPr>
          <w:color w:val="auto"/>
          <w:spacing w:val="-8"/>
        </w:rPr>
        <w:t>，</w:t>
      </w:r>
      <w:r>
        <w:rPr>
          <w:color w:val="auto"/>
          <w:spacing w:val="-10"/>
        </w:rPr>
        <w:t>以下简称</w:t>
      </w:r>
      <w:r>
        <w:rPr>
          <w:rFonts w:ascii="Times New Roman" w:hAnsi="Times New Roman" w:eastAsia="Times New Roman"/>
          <w:color w:val="auto"/>
          <w:spacing w:val="-5"/>
        </w:rPr>
        <w:t>“</w:t>
      </w:r>
      <w:r>
        <w:rPr>
          <w:color w:val="auto"/>
          <w:spacing w:val="-8"/>
        </w:rPr>
        <w:t>承</w:t>
      </w:r>
      <w:r>
        <w:rPr>
          <w:color w:val="auto"/>
          <w:spacing w:val="-10"/>
        </w:rPr>
        <w:t>包</w:t>
      </w:r>
      <w:r>
        <w:rPr>
          <w:color w:val="auto"/>
          <w:spacing w:val="-8"/>
        </w:rPr>
        <w:t>人</w:t>
      </w:r>
      <w:r>
        <w:rPr>
          <w:rFonts w:ascii="Times New Roman" w:hAnsi="Times New Roman" w:eastAsia="Times New Roman"/>
          <w:color w:val="auto"/>
          <w:spacing w:val="-8"/>
        </w:rPr>
        <w:t>”</w:t>
      </w:r>
      <w:r>
        <w:rPr>
          <w:color w:val="auto"/>
          <w:spacing w:val="-8"/>
        </w:rPr>
        <w:t>）</w:t>
      </w:r>
      <w:r>
        <w:rPr>
          <w:color w:val="auto"/>
          <w:spacing w:val="-10"/>
        </w:rPr>
        <w:t>对</w:t>
      </w:r>
      <w:r>
        <w:rPr>
          <w:color w:val="auto"/>
          <w:spacing w:val="-8"/>
        </w:rPr>
        <w:t>该</w:t>
      </w:r>
      <w:r>
        <w:rPr>
          <w:color w:val="auto"/>
          <w:spacing w:val="-10"/>
        </w:rPr>
        <w:t>项目设</w:t>
      </w:r>
      <w:r>
        <w:rPr>
          <w:color w:val="auto"/>
          <w:spacing w:val="-8"/>
        </w:rPr>
        <w:t>计</w:t>
      </w:r>
      <w:r>
        <w:rPr>
          <w:color w:val="auto"/>
          <w:spacing w:val="-10"/>
        </w:rPr>
        <w:t>施</w:t>
      </w:r>
      <w:r>
        <w:rPr>
          <w:color w:val="auto"/>
          <w:spacing w:val="-7"/>
        </w:rPr>
        <w:t>工</w:t>
      </w:r>
      <w:r>
        <w:rPr>
          <w:color w:val="auto"/>
          <w:spacing w:val="-10"/>
        </w:rPr>
        <w:t>总承包</w:t>
      </w:r>
      <w:r>
        <w:rPr>
          <w:color w:val="auto"/>
          <w:spacing w:val="-8"/>
        </w:rPr>
        <w:t>投</w:t>
      </w:r>
      <w:r>
        <w:rPr>
          <w:color w:val="auto"/>
          <w:spacing w:val="-10"/>
        </w:rPr>
        <w:t>标</w:t>
      </w:r>
      <w:r>
        <w:rPr>
          <w:color w:val="auto"/>
        </w:rPr>
        <w:t>。</w:t>
      </w:r>
    </w:p>
    <w:p>
      <w:pPr>
        <w:pStyle w:val="8"/>
        <w:spacing w:before="4"/>
        <w:ind w:left="669"/>
        <w:rPr>
          <w:color w:val="auto"/>
        </w:rPr>
      </w:pPr>
      <w:r>
        <w:rPr>
          <w:color w:val="auto"/>
        </w:rPr>
        <w:t>发包人和承包人共同达成如下协议。</w:t>
      </w:r>
    </w:p>
    <w:p>
      <w:pPr>
        <w:pStyle w:val="44"/>
        <w:numPr>
          <w:ilvl w:val="2"/>
          <w:numId w:val="87"/>
        </w:numPr>
        <w:tabs>
          <w:tab w:val="left" w:pos="1265"/>
        </w:tabs>
        <w:spacing w:before="170"/>
        <w:ind w:hanging="251"/>
        <w:rPr>
          <w:color w:val="auto"/>
          <w:sz w:val="21"/>
        </w:rPr>
      </w:pPr>
      <w:r>
        <w:rPr>
          <w:color w:val="auto"/>
          <w:spacing w:val="-11"/>
          <w:sz w:val="21"/>
        </w:rPr>
        <w:t>本协议书与下列文件一起构成合同文件：</w:t>
      </w:r>
    </w:p>
    <w:p>
      <w:pPr>
        <w:pStyle w:val="44"/>
        <w:numPr>
          <w:ilvl w:val="3"/>
          <w:numId w:val="87"/>
        </w:numPr>
        <w:tabs>
          <w:tab w:val="left" w:pos="1875"/>
        </w:tabs>
        <w:spacing w:before="170"/>
        <w:rPr>
          <w:color w:val="auto"/>
          <w:sz w:val="21"/>
        </w:rPr>
      </w:pPr>
      <w:r>
        <w:rPr>
          <w:color w:val="auto"/>
          <w:spacing w:val="-9"/>
          <w:sz w:val="21"/>
        </w:rPr>
        <w:t>中标通知书；</w:t>
      </w:r>
    </w:p>
    <w:p>
      <w:pPr>
        <w:pStyle w:val="44"/>
        <w:numPr>
          <w:ilvl w:val="3"/>
          <w:numId w:val="87"/>
        </w:numPr>
        <w:tabs>
          <w:tab w:val="left" w:pos="1875"/>
        </w:tabs>
        <w:spacing w:before="173"/>
        <w:rPr>
          <w:color w:val="auto"/>
          <w:sz w:val="21"/>
        </w:rPr>
      </w:pPr>
      <w:r>
        <w:rPr>
          <w:color w:val="auto"/>
          <w:spacing w:val="-9"/>
          <w:sz w:val="21"/>
        </w:rPr>
        <w:t>投标函及投标函附录；</w:t>
      </w:r>
    </w:p>
    <w:p>
      <w:pPr>
        <w:pStyle w:val="44"/>
        <w:numPr>
          <w:ilvl w:val="3"/>
          <w:numId w:val="87"/>
        </w:numPr>
        <w:tabs>
          <w:tab w:val="left" w:pos="1875"/>
        </w:tabs>
        <w:spacing w:before="170"/>
        <w:rPr>
          <w:color w:val="auto"/>
          <w:sz w:val="21"/>
        </w:rPr>
      </w:pPr>
      <w:r>
        <w:rPr>
          <w:color w:val="auto"/>
          <w:spacing w:val="-9"/>
          <w:sz w:val="21"/>
        </w:rPr>
        <w:t>专用合同条款；</w:t>
      </w:r>
    </w:p>
    <w:p>
      <w:pPr>
        <w:pStyle w:val="44"/>
        <w:numPr>
          <w:ilvl w:val="3"/>
          <w:numId w:val="87"/>
        </w:numPr>
        <w:tabs>
          <w:tab w:val="left" w:pos="1875"/>
        </w:tabs>
        <w:spacing w:before="170"/>
        <w:rPr>
          <w:color w:val="auto"/>
          <w:sz w:val="21"/>
        </w:rPr>
      </w:pPr>
      <w:r>
        <w:rPr>
          <w:color w:val="auto"/>
          <w:spacing w:val="-9"/>
          <w:sz w:val="21"/>
        </w:rPr>
        <w:t>通用合同条款；</w:t>
      </w:r>
    </w:p>
    <w:p>
      <w:pPr>
        <w:pStyle w:val="44"/>
        <w:numPr>
          <w:ilvl w:val="3"/>
          <w:numId w:val="87"/>
        </w:numPr>
        <w:tabs>
          <w:tab w:val="left" w:pos="1875"/>
        </w:tabs>
        <w:spacing w:before="173"/>
        <w:rPr>
          <w:color w:val="auto"/>
          <w:sz w:val="21"/>
        </w:rPr>
      </w:pPr>
      <w:r>
        <w:rPr>
          <w:color w:val="auto"/>
          <w:spacing w:val="-10"/>
          <w:sz w:val="21"/>
        </w:rPr>
        <w:t>发包人要求；</w:t>
      </w:r>
    </w:p>
    <w:p>
      <w:pPr>
        <w:pStyle w:val="44"/>
        <w:numPr>
          <w:ilvl w:val="3"/>
          <w:numId w:val="87"/>
        </w:numPr>
        <w:tabs>
          <w:tab w:val="left" w:pos="1875"/>
        </w:tabs>
        <w:spacing w:before="170"/>
        <w:rPr>
          <w:color w:val="auto"/>
          <w:sz w:val="21"/>
        </w:rPr>
      </w:pPr>
      <w:r>
        <w:rPr>
          <w:color w:val="auto"/>
          <w:spacing w:val="-8"/>
          <w:sz w:val="21"/>
        </w:rPr>
        <w:t>价格清单；</w:t>
      </w:r>
    </w:p>
    <w:p>
      <w:pPr>
        <w:pStyle w:val="44"/>
        <w:numPr>
          <w:ilvl w:val="3"/>
          <w:numId w:val="87"/>
        </w:numPr>
        <w:tabs>
          <w:tab w:val="left" w:pos="1875"/>
        </w:tabs>
        <w:spacing w:before="170"/>
        <w:rPr>
          <w:color w:val="auto"/>
          <w:sz w:val="21"/>
        </w:rPr>
      </w:pPr>
      <w:r>
        <w:rPr>
          <w:color w:val="auto"/>
          <w:spacing w:val="-9"/>
          <w:sz w:val="21"/>
        </w:rPr>
        <w:t>承包人建议；</w:t>
      </w:r>
    </w:p>
    <w:p>
      <w:pPr>
        <w:pStyle w:val="44"/>
        <w:numPr>
          <w:ilvl w:val="3"/>
          <w:numId w:val="87"/>
        </w:numPr>
        <w:tabs>
          <w:tab w:val="left" w:pos="1875"/>
        </w:tabs>
        <w:spacing w:before="173"/>
        <w:rPr>
          <w:color w:val="auto"/>
          <w:sz w:val="21"/>
        </w:rPr>
      </w:pPr>
      <w:r>
        <w:rPr>
          <w:color w:val="auto"/>
          <w:spacing w:val="-9"/>
          <w:sz w:val="21"/>
        </w:rPr>
        <w:t>其他合同文件。</w:t>
      </w:r>
    </w:p>
    <w:p>
      <w:pPr>
        <w:pStyle w:val="44"/>
        <w:numPr>
          <w:ilvl w:val="2"/>
          <w:numId w:val="87"/>
        </w:numPr>
        <w:tabs>
          <w:tab w:val="left" w:pos="1265"/>
        </w:tabs>
        <w:spacing w:before="170"/>
        <w:ind w:hanging="251"/>
        <w:rPr>
          <w:color w:val="auto"/>
          <w:sz w:val="21"/>
        </w:rPr>
      </w:pPr>
      <w:r>
        <w:rPr>
          <w:color w:val="auto"/>
          <w:spacing w:val="-10"/>
          <w:sz w:val="21"/>
        </w:rPr>
        <w:t>上述文件互相补充和解释，如有不明确或不一致之处，以合同约定次序在先者为准。</w:t>
      </w:r>
    </w:p>
    <w:p>
      <w:pPr>
        <w:pStyle w:val="44"/>
        <w:numPr>
          <w:ilvl w:val="2"/>
          <w:numId w:val="87"/>
        </w:numPr>
        <w:tabs>
          <w:tab w:val="left" w:pos="1265"/>
          <w:tab w:val="left" w:pos="4898"/>
          <w:tab w:val="left" w:pos="6108"/>
        </w:tabs>
        <w:spacing w:before="170"/>
        <w:ind w:hanging="251"/>
        <w:rPr>
          <w:color w:val="auto"/>
          <w:sz w:val="21"/>
        </w:rPr>
      </w:pPr>
      <w:r>
        <w:rPr>
          <w:color w:val="auto"/>
          <w:spacing w:val="-10"/>
          <w:sz w:val="21"/>
        </w:rPr>
        <w:t>签约</w:t>
      </w:r>
      <w:r>
        <w:rPr>
          <w:color w:val="auto"/>
          <w:spacing w:val="-8"/>
          <w:sz w:val="21"/>
        </w:rPr>
        <w:t>合</w:t>
      </w:r>
      <w:r>
        <w:rPr>
          <w:color w:val="auto"/>
          <w:spacing w:val="-10"/>
          <w:sz w:val="21"/>
        </w:rPr>
        <w:t>同价：人民币（大写</w:t>
      </w:r>
      <w:r>
        <w:rPr>
          <w:color w:val="auto"/>
          <w:spacing w:val="-8"/>
          <w:sz w:val="21"/>
        </w:rPr>
        <w:t>）</w:t>
      </w:r>
      <w:r>
        <w:rPr>
          <w:color w:val="auto"/>
          <w:spacing w:val="-8"/>
          <w:sz w:val="21"/>
          <w:u w:val="single"/>
        </w:rPr>
        <w:t xml:space="preserve"> </w:t>
      </w:r>
      <w:r>
        <w:rPr>
          <w:color w:val="auto"/>
          <w:spacing w:val="-8"/>
          <w:sz w:val="21"/>
          <w:u w:val="single"/>
        </w:rPr>
        <w:tab/>
      </w:r>
      <w:r>
        <w:rPr>
          <w:color w:val="auto"/>
          <w:spacing w:val="-7"/>
          <w:sz w:val="21"/>
        </w:rPr>
        <w:t>（</w:t>
      </w:r>
      <w:r>
        <w:rPr>
          <w:rFonts w:ascii="Times New Roman" w:hAnsi="Times New Roman" w:eastAsia="Times New Roman"/>
          <w:color w:val="auto"/>
          <w:spacing w:val="-7"/>
          <w:sz w:val="21"/>
        </w:rPr>
        <w:t>¥</w:t>
      </w:r>
      <w:r>
        <w:rPr>
          <w:rFonts w:ascii="Times New Roman" w:hAnsi="Times New Roman" w:eastAsia="Times New Roman"/>
          <w:color w:val="auto"/>
          <w:spacing w:val="-7"/>
          <w:sz w:val="21"/>
          <w:u w:val="single"/>
        </w:rPr>
        <w:t xml:space="preserve"> </w:t>
      </w:r>
      <w:r>
        <w:rPr>
          <w:rFonts w:ascii="Times New Roman" w:hAnsi="Times New Roman" w:eastAsia="Times New Roman"/>
          <w:color w:val="auto"/>
          <w:spacing w:val="-7"/>
          <w:sz w:val="21"/>
          <w:u w:val="single"/>
        </w:rPr>
        <w:tab/>
      </w:r>
      <w:r>
        <w:rPr>
          <w:color w:val="auto"/>
          <w:spacing w:val="-10"/>
          <w:sz w:val="21"/>
        </w:rPr>
        <w:t>）。</w:t>
      </w:r>
    </w:p>
    <w:p>
      <w:pPr>
        <w:pStyle w:val="44"/>
        <w:numPr>
          <w:ilvl w:val="2"/>
          <w:numId w:val="87"/>
        </w:numPr>
        <w:tabs>
          <w:tab w:val="left" w:pos="1265"/>
          <w:tab w:val="left" w:pos="3888"/>
          <w:tab w:val="left" w:pos="6310"/>
          <w:tab w:val="left" w:pos="8585"/>
        </w:tabs>
        <w:spacing w:before="173"/>
        <w:ind w:hanging="251"/>
        <w:rPr>
          <w:color w:val="auto"/>
          <w:sz w:val="21"/>
        </w:rPr>
      </w:pPr>
      <w:r>
        <w:rPr>
          <w:color w:val="auto"/>
          <w:spacing w:val="-10"/>
          <w:sz w:val="21"/>
        </w:rPr>
        <w:t>承包</w:t>
      </w:r>
      <w:r>
        <w:rPr>
          <w:color w:val="auto"/>
          <w:spacing w:val="-8"/>
          <w:sz w:val="21"/>
        </w:rPr>
        <w:t>人</w:t>
      </w:r>
      <w:r>
        <w:rPr>
          <w:color w:val="auto"/>
          <w:spacing w:val="-10"/>
          <w:sz w:val="21"/>
        </w:rPr>
        <w:t>项目经理</w:t>
      </w:r>
      <w:r>
        <w:rPr>
          <w:color w:val="auto"/>
          <w:spacing w:val="-8"/>
          <w:sz w:val="21"/>
        </w:rPr>
        <w:t>：</w:t>
      </w:r>
      <w:r>
        <w:rPr>
          <w:color w:val="auto"/>
          <w:spacing w:val="-8"/>
          <w:sz w:val="21"/>
          <w:u w:val="single"/>
        </w:rPr>
        <w:t xml:space="preserve"> </w:t>
      </w:r>
      <w:r>
        <w:rPr>
          <w:color w:val="auto"/>
          <w:spacing w:val="-8"/>
          <w:sz w:val="21"/>
          <w:u w:val="single"/>
        </w:rPr>
        <w:tab/>
      </w:r>
      <w:r>
        <w:rPr>
          <w:color w:val="auto"/>
          <w:spacing w:val="-10"/>
          <w:sz w:val="21"/>
        </w:rPr>
        <w:t>；设</w:t>
      </w:r>
      <w:r>
        <w:rPr>
          <w:color w:val="auto"/>
          <w:spacing w:val="-8"/>
          <w:sz w:val="21"/>
        </w:rPr>
        <w:t>计</w:t>
      </w:r>
      <w:r>
        <w:rPr>
          <w:color w:val="auto"/>
          <w:spacing w:val="-10"/>
          <w:sz w:val="21"/>
        </w:rPr>
        <w:t>负责人</w:t>
      </w:r>
      <w:r>
        <w:rPr>
          <w:color w:val="auto"/>
          <w:spacing w:val="-8"/>
          <w:sz w:val="21"/>
        </w:rPr>
        <w:t>：</w:t>
      </w:r>
      <w:r>
        <w:rPr>
          <w:color w:val="auto"/>
          <w:spacing w:val="-8"/>
          <w:sz w:val="21"/>
          <w:u w:val="single"/>
        </w:rPr>
        <w:t xml:space="preserve"> </w:t>
      </w:r>
      <w:r>
        <w:rPr>
          <w:color w:val="auto"/>
          <w:spacing w:val="-8"/>
          <w:sz w:val="21"/>
          <w:u w:val="single"/>
        </w:rPr>
        <w:tab/>
      </w:r>
      <w:r>
        <w:rPr>
          <w:color w:val="auto"/>
          <w:spacing w:val="-10"/>
          <w:sz w:val="21"/>
        </w:rPr>
        <w:t>；施</w:t>
      </w:r>
      <w:r>
        <w:rPr>
          <w:color w:val="auto"/>
          <w:spacing w:val="-8"/>
          <w:sz w:val="21"/>
        </w:rPr>
        <w:t>工</w:t>
      </w:r>
      <w:r>
        <w:rPr>
          <w:color w:val="auto"/>
          <w:spacing w:val="-10"/>
          <w:sz w:val="21"/>
        </w:rPr>
        <w:t>负责</w:t>
      </w:r>
      <w:r>
        <w:rPr>
          <w:color w:val="auto"/>
          <w:spacing w:val="-8"/>
          <w:sz w:val="21"/>
        </w:rPr>
        <w:t>人</w:t>
      </w:r>
      <w:r>
        <w:rPr>
          <w:rFonts w:ascii="Times New Roman" w:eastAsia="Times New Roman"/>
          <w:color w:val="auto"/>
          <w:spacing w:val="-6"/>
          <w:sz w:val="21"/>
        </w:rPr>
        <w:t>:</w:t>
      </w:r>
      <w:r>
        <w:rPr>
          <w:rFonts w:ascii="Times New Roman" w:eastAsia="Times New Roman"/>
          <w:color w:val="auto"/>
          <w:spacing w:val="-6"/>
          <w:sz w:val="21"/>
          <w:u w:val="single"/>
        </w:rPr>
        <w:t xml:space="preserve"> </w:t>
      </w:r>
      <w:r>
        <w:rPr>
          <w:rFonts w:ascii="Times New Roman" w:eastAsia="Times New Roman"/>
          <w:color w:val="auto"/>
          <w:spacing w:val="-6"/>
          <w:sz w:val="21"/>
          <w:u w:val="single"/>
        </w:rPr>
        <w:tab/>
      </w:r>
      <w:r>
        <w:rPr>
          <w:color w:val="auto"/>
          <w:sz w:val="21"/>
        </w:rPr>
        <w:t>。</w:t>
      </w:r>
    </w:p>
    <w:p>
      <w:pPr>
        <w:pStyle w:val="44"/>
        <w:numPr>
          <w:ilvl w:val="2"/>
          <w:numId w:val="87"/>
        </w:numPr>
        <w:tabs>
          <w:tab w:val="left" w:pos="1265"/>
          <w:tab w:val="left" w:pos="6209"/>
        </w:tabs>
        <w:spacing w:before="170"/>
        <w:ind w:hanging="251"/>
        <w:rPr>
          <w:color w:val="auto"/>
          <w:sz w:val="21"/>
        </w:rPr>
      </w:pPr>
      <w:r>
        <w:rPr>
          <w:color w:val="auto"/>
          <w:spacing w:val="-10"/>
          <w:sz w:val="21"/>
        </w:rPr>
        <w:t>工程</w:t>
      </w:r>
      <w:r>
        <w:rPr>
          <w:color w:val="auto"/>
          <w:spacing w:val="-8"/>
          <w:sz w:val="21"/>
        </w:rPr>
        <w:t>质</w:t>
      </w:r>
      <w:r>
        <w:rPr>
          <w:color w:val="auto"/>
          <w:spacing w:val="-10"/>
          <w:sz w:val="21"/>
        </w:rPr>
        <w:t>量符合的标准和要求</w:t>
      </w:r>
      <w:r>
        <w:rPr>
          <w:color w:val="auto"/>
          <w:spacing w:val="-7"/>
          <w:sz w:val="21"/>
        </w:rPr>
        <w:t>：</w:t>
      </w:r>
      <w:r>
        <w:rPr>
          <w:color w:val="auto"/>
          <w:spacing w:val="-7"/>
          <w:sz w:val="21"/>
          <w:u w:val="single"/>
        </w:rPr>
        <w:t xml:space="preserve"> </w:t>
      </w:r>
      <w:r>
        <w:rPr>
          <w:color w:val="auto"/>
          <w:spacing w:val="-7"/>
          <w:sz w:val="21"/>
          <w:u w:val="single"/>
        </w:rPr>
        <w:tab/>
      </w:r>
      <w:r>
        <w:rPr>
          <w:color w:val="auto"/>
          <w:sz w:val="21"/>
        </w:rPr>
        <w:t>。</w:t>
      </w:r>
    </w:p>
    <w:p>
      <w:pPr>
        <w:pStyle w:val="44"/>
        <w:numPr>
          <w:ilvl w:val="2"/>
          <w:numId w:val="87"/>
        </w:numPr>
        <w:tabs>
          <w:tab w:val="left" w:pos="1265"/>
        </w:tabs>
        <w:spacing w:before="170"/>
        <w:ind w:hanging="251"/>
        <w:rPr>
          <w:color w:val="auto"/>
          <w:sz w:val="21"/>
        </w:rPr>
      </w:pPr>
      <w:r>
        <w:rPr>
          <w:color w:val="auto"/>
          <w:spacing w:val="-11"/>
          <w:sz w:val="21"/>
        </w:rPr>
        <w:t>承包人承诺按合同约定承担工程的设计、实施、竣工及缺陷修复。</w:t>
      </w:r>
    </w:p>
    <w:p>
      <w:pPr>
        <w:pStyle w:val="44"/>
        <w:numPr>
          <w:ilvl w:val="2"/>
          <w:numId w:val="87"/>
        </w:numPr>
        <w:tabs>
          <w:tab w:val="left" w:pos="1265"/>
        </w:tabs>
        <w:spacing w:before="173"/>
        <w:ind w:hanging="251"/>
        <w:rPr>
          <w:color w:val="auto"/>
          <w:sz w:val="21"/>
        </w:rPr>
      </w:pPr>
      <w:r>
        <w:rPr>
          <w:color w:val="auto"/>
          <w:spacing w:val="-11"/>
          <w:sz w:val="21"/>
        </w:rPr>
        <w:t>发包人承诺按合同约定的条件、时间和方式向承包人支付合同价款。</w:t>
      </w:r>
    </w:p>
    <w:p>
      <w:pPr>
        <w:pStyle w:val="44"/>
        <w:numPr>
          <w:ilvl w:val="2"/>
          <w:numId w:val="87"/>
        </w:numPr>
        <w:tabs>
          <w:tab w:val="left" w:pos="1265"/>
          <w:tab w:val="left" w:pos="4303"/>
          <w:tab w:val="left" w:pos="5306"/>
        </w:tabs>
        <w:spacing w:before="170" w:line="391" w:lineRule="auto"/>
        <w:ind w:left="669" w:right="922" w:firstLine="345"/>
        <w:rPr>
          <w:color w:val="auto"/>
          <w:sz w:val="21"/>
        </w:rPr>
      </w:pPr>
      <w:r>
        <w:rPr>
          <w:color w:val="auto"/>
          <w:spacing w:val="-8"/>
          <w:sz w:val="21"/>
        </w:rPr>
        <w:t>承</w:t>
      </w:r>
      <w:r>
        <w:rPr>
          <w:color w:val="auto"/>
          <w:spacing w:val="-10"/>
          <w:sz w:val="21"/>
        </w:rPr>
        <w:t>包人计</w:t>
      </w:r>
      <w:r>
        <w:rPr>
          <w:color w:val="auto"/>
          <w:spacing w:val="-8"/>
          <w:sz w:val="21"/>
        </w:rPr>
        <w:t>划</w:t>
      </w:r>
      <w:r>
        <w:rPr>
          <w:color w:val="auto"/>
          <w:spacing w:val="-10"/>
          <w:sz w:val="21"/>
        </w:rPr>
        <w:t>开始工</w:t>
      </w:r>
      <w:r>
        <w:rPr>
          <w:color w:val="auto"/>
          <w:spacing w:val="-8"/>
          <w:sz w:val="21"/>
        </w:rPr>
        <w:t>作</w:t>
      </w:r>
      <w:r>
        <w:rPr>
          <w:color w:val="auto"/>
          <w:spacing w:val="-10"/>
          <w:sz w:val="21"/>
        </w:rPr>
        <w:t>时间</w:t>
      </w:r>
      <w:r>
        <w:rPr>
          <w:color w:val="auto"/>
          <w:spacing w:val="-8"/>
          <w:sz w:val="21"/>
        </w:rPr>
        <w:t>：</w:t>
      </w:r>
      <w:r>
        <w:rPr>
          <w:color w:val="auto"/>
          <w:spacing w:val="-8"/>
          <w:sz w:val="21"/>
          <w:u w:val="single"/>
        </w:rPr>
        <w:t xml:space="preserve"> </w:t>
      </w:r>
      <w:r>
        <w:rPr>
          <w:color w:val="auto"/>
          <w:spacing w:val="-8"/>
          <w:sz w:val="21"/>
          <w:u w:val="single"/>
        </w:rPr>
        <w:tab/>
      </w:r>
      <w:r>
        <w:rPr>
          <w:color w:val="auto"/>
          <w:spacing w:val="-8"/>
          <w:sz w:val="21"/>
          <w:u w:val="single"/>
        </w:rPr>
        <w:tab/>
      </w:r>
      <w:r>
        <w:rPr>
          <w:color w:val="auto"/>
          <w:spacing w:val="-8"/>
          <w:sz w:val="21"/>
        </w:rPr>
        <w:t>，</w:t>
      </w:r>
      <w:r>
        <w:rPr>
          <w:color w:val="auto"/>
          <w:spacing w:val="-10"/>
          <w:sz w:val="21"/>
        </w:rPr>
        <w:t>实际</w:t>
      </w:r>
      <w:r>
        <w:rPr>
          <w:color w:val="auto"/>
          <w:spacing w:val="-8"/>
          <w:sz w:val="21"/>
        </w:rPr>
        <w:t>开</w:t>
      </w:r>
      <w:r>
        <w:rPr>
          <w:color w:val="auto"/>
          <w:spacing w:val="-10"/>
          <w:sz w:val="21"/>
        </w:rPr>
        <w:t>始工作</w:t>
      </w:r>
      <w:r>
        <w:rPr>
          <w:color w:val="auto"/>
          <w:spacing w:val="-8"/>
          <w:sz w:val="21"/>
        </w:rPr>
        <w:t>时</w:t>
      </w:r>
      <w:r>
        <w:rPr>
          <w:color w:val="auto"/>
          <w:spacing w:val="-10"/>
          <w:sz w:val="21"/>
        </w:rPr>
        <w:t>间按照监</w:t>
      </w:r>
      <w:r>
        <w:rPr>
          <w:color w:val="auto"/>
          <w:spacing w:val="-8"/>
          <w:sz w:val="21"/>
        </w:rPr>
        <w:t>理</w:t>
      </w:r>
      <w:r>
        <w:rPr>
          <w:color w:val="auto"/>
          <w:spacing w:val="-10"/>
          <w:sz w:val="21"/>
        </w:rPr>
        <w:t>人开</w:t>
      </w:r>
      <w:r>
        <w:rPr>
          <w:color w:val="auto"/>
          <w:spacing w:val="-8"/>
          <w:sz w:val="21"/>
        </w:rPr>
        <w:t>始</w:t>
      </w:r>
      <w:r>
        <w:rPr>
          <w:color w:val="auto"/>
          <w:spacing w:val="-10"/>
          <w:sz w:val="21"/>
        </w:rPr>
        <w:t>工作通</w:t>
      </w:r>
      <w:r>
        <w:rPr>
          <w:color w:val="auto"/>
          <w:sz w:val="21"/>
        </w:rPr>
        <w:t>知</w:t>
      </w:r>
      <w:r>
        <w:rPr>
          <w:color w:val="auto"/>
          <w:spacing w:val="-10"/>
          <w:sz w:val="21"/>
        </w:rPr>
        <w:t>中载明的开</w:t>
      </w:r>
      <w:r>
        <w:rPr>
          <w:color w:val="auto"/>
          <w:spacing w:val="-8"/>
          <w:sz w:val="21"/>
        </w:rPr>
        <w:t>始</w:t>
      </w:r>
      <w:r>
        <w:rPr>
          <w:color w:val="auto"/>
          <w:spacing w:val="-10"/>
          <w:sz w:val="21"/>
        </w:rPr>
        <w:t>工作时间为准</w:t>
      </w:r>
      <w:r>
        <w:rPr>
          <w:color w:val="auto"/>
          <w:spacing w:val="-11"/>
          <w:sz w:val="21"/>
        </w:rPr>
        <w:t>。</w:t>
      </w:r>
      <w:r>
        <w:rPr>
          <w:color w:val="auto"/>
          <w:spacing w:val="-10"/>
          <w:sz w:val="21"/>
        </w:rPr>
        <w:t>工期</w:t>
      </w:r>
      <w:r>
        <w:rPr>
          <w:color w:val="auto"/>
          <w:spacing w:val="-8"/>
          <w:sz w:val="21"/>
        </w:rPr>
        <w:t>为</w:t>
      </w:r>
      <w:r>
        <w:rPr>
          <w:color w:val="auto"/>
          <w:spacing w:val="-8"/>
          <w:sz w:val="21"/>
          <w:u w:val="single"/>
        </w:rPr>
        <w:t xml:space="preserve"> </w:t>
      </w:r>
      <w:r>
        <w:rPr>
          <w:color w:val="auto"/>
          <w:spacing w:val="-8"/>
          <w:sz w:val="21"/>
          <w:u w:val="single"/>
        </w:rPr>
        <w:tab/>
      </w:r>
      <w:r>
        <w:rPr>
          <w:color w:val="auto"/>
          <w:spacing w:val="-10"/>
          <w:sz w:val="21"/>
        </w:rPr>
        <w:t>天。</w:t>
      </w:r>
    </w:p>
    <w:p>
      <w:pPr>
        <w:pStyle w:val="44"/>
        <w:numPr>
          <w:ilvl w:val="2"/>
          <w:numId w:val="87"/>
        </w:numPr>
        <w:tabs>
          <w:tab w:val="left" w:pos="1265"/>
          <w:tab w:val="left" w:pos="2980"/>
        </w:tabs>
        <w:spacing w:before="4"/>
        <w:ind w:hanging="251"/>
        <w:rPr>
          <w:color w:val="auto"/>
          <w:sz w:val="21"/>
        </w:rPr>
      </w:pPr>
      <w:r>
        <w:rPr>
          <w:color w:val="auto"/>
          <w:spacing w:val="-10"/>
          <w:sz w:val="21"/>
        </w:rPr>
        <w:t>本协</w:t>
      </w:r>
      <w:r>
        <w:rPr>
          <w:color w:val="auto"/>
          <w:spacing w:val="-8"/>
          <w:sz w:val="21"/>
        </w:rPr>
        <w:t>议</w:t>
      </w:r>
      <w:r>
        <w:rPr>
          <w:color w:val="auto"/>
          <w:spacing w:val="-10"/>
          <w:sz w:val="21"/>
        </w:rPr>
        <w:t>书一</w:t>
      </w:r>
      <w:r>
        <w:rPr>
          <w:color w:val="auto"/>
          <w:spacing w:val="-8"/>
          <w:sz w:val="21"/>
        </w:rPr>
        <w:t>式</w:t>
      </w:r>
      <w:r>
        <w:rPr>
          <w:color w:val="auto"/>
          <w:spacing w:val="-8"/>
          <w:sz w:val="21"/>
          <w:u w:val="single"/>
        </w:rPr>
        <w:t xml:space="preserve"> </w:t>
      </w:r>
      <w:r>
        <w:rPr>
          <w:color w:val="auto"/>
          <w:spacing w:val="-8"/>
          <w:sz w:val="21"/>
          <w:u w:val="single"/>
        </w:rPr>
        <w:tab/>
      </w:r>
      <w:r>
        <w:rPr>
          <w:color w:val="auto"/>
          <w:spacing w:val="-10"/>
          <w:sz w:val="21"/>
        </w:rPr>
        <w:t>份，合同双方各</w:t>
      </w:r>
      <w:r>
        <w:rPr>
          <w:color w:val="auto"/>
          <w:spacing w:val="-8"/>
          <w:sz w:val="21"/>
        </w:rPr>
        <w:t>执</w:t>
      </w:r>
      <w:r>
        <w:rPr>
          <w:color w:val="auto"/>
          <w:spacing w:val="-10"/>
          <w:sz w:val="21"/>
        </w:rPr>
        <w:t>一份。</w:t>
      </w:r>
    </w:p>
    <w:p>
      <w:pPr>
        <w:pStyle w:val="44"/>
        <w:numPr>
          <w:ilvl w:val="2"/>
          <w:numId w:val="87"/>
        </w:numPr>
        <w:tabs>
          <w:tab w:val="left" w:pos="1366"/>
        </w:tabs>
        <w:spacing w:before="170"/>
        <w:ind w:left="1365" w:hanging="352"/>
        <w:rPr>
          <w:color w:val="auto"/>
          <w:sz w:val="21"/>
        </w:rPr>
      </w:pPr>
      <w:r>
        <w:rPr>
          <w:color w:val="auto"/>
          <w:spacing w:val="-10"/>
          <w:sz w:val="21"/>
        </w:rPr>
        <w:t>合同未尽事宜，双方另行签订补充协议。补充协议是合同的组成部分。</w:t>
      </w:r>
    </w:p>
    <w:p>
      <w:pPr>
        <w:pStyle w:val="8"/>
        <w:tabs>
          <w:tab w:val="left" w:pos="3091"/>
          <w:tab w:val="left" w:pos="4807"/>
          <w:tab w:val="left" w:pos="7531"/>
        </w:tabs>
        <w:spacing w:before="170"/>
        <w:ind w:left="669"/>
        <w:rPr>
          <w:color w:val="auto"/>
        </w:rPr>
      </w:pPr>
      <w:r>
        <w:rPr>
          <w:color w:val="auto"/>
          <w:spacing w:val="-10"/>
        </w:rPr>
        <w:t>发包人</w:t>
      </w:r>
      <w:r>
        <w:rPr>
          <w:color w:val="auto"/>
          <w:spacing w:val="-8"/>
        </w:rPr>
        <w:t>：</w:t>
      </w:r>
      <w:r>
        <w:rPr>
          <w:color w:val="auto"/>
          <w:spacing w:val="-8"/>
          <w:u w:val="single"/>
        </w:rPr>
        <w:t xml:space="preserve"> </w:t>
      </w:r>
      <w:r>
        <w:rPr>
          <w:color w:val="auto"/>
          <w:spacing w:val="-8"/>
          <w:u w:val="single"/>
        </w:rPr>
        <w:tab/>
      </w:r>
      <w:r>
        <w:rPr>
          <w:color w:val="auto"/>
          <w:spacing w:val="-10"/>
        </w:rPr>
        <w:t>（盖单位章</w:t>
      </w:r>
      <w:r>
        <w:rPr>
          <w:color w:val="auto"/>
        </w:rPr>
        <w:t>）</w:t>
      </w:r>
      <w:r>
        <w:rPr>
          <w:color w:val="auto"/>
        </w:rPr>
        <w:tab/>
      </w:r>
      <w:r>
        <w:rPr>
          <w:color w:val="auto"/>
          <w:spacing w:val="-10"/>
        </w:rPr>
        <w:t>承包人</w:t>
      </w:r>
      <w:r>
        <w:rPr>
          <w:color w:val="auto"/>
          <w:spacing w:val="-7"/>
        </w:rPr>
        <w:t>：</w:t>
      </w:r>
      <w:r>
        <w:rPr>
          <w:color w:val="auto"/>
          <w:spacing w:val="-7"/>
          <w:u w:val="single"/>
        </w:rPr>
        <w:t xml:space="preserve"> </w:t>
      </w:r>
      <w:r>
        <w:rPr>
          <w:color w:val="auto"/>
          <w:spacing w:val="-7"/>
          <w:u w:val="single"/>
        </w:rPr>
        <w:tab/>
      </w:r>
      <w:r>
        <w:rPr>
          <w:color w:val="auto"/>
          <w:spacing w:val="-10"/>
        </w:rPr>
        <w:t>（盖单位章）</w:t>
      </w:r>
    </w:p>
    <w:p>
      <w:pPr>
        <w:pStyle w:val="8"/>
        <w:tabs>
          <w:tab w:val="left" w:pos="3696"/>
          <w:tab w:val="left" w:pos="4908"/>
          <w:tab w:val="left" w:pos="8137"/>
        </w:tabs>
        <w:spacing w:before="173"/>
        <w:ind w:left="669"/>
        <w:rPr>
          <w:color w:val="auto"/>
        </w:rPr>
      </w:pPr>
      <w:r>
        <w:rPr>
          <w:color w:val="auto"/>
          <w:spacing w:val="-10"/>
        </w:rPr>
        <w:t>法定代表人</w:t>
      </w:r>
      <w:r>
        <w:rPr>
          <w:color w:val="auto"/>
          <w:spacing w:val="-8"/>
        </w:rPr>
        <w:t>或</w:t>
      </w:r>
      <w:r>
        <w:rPr>
          <w:color w:val="auto"/>
          <w:spacing w:val="-10"/>
        </w:rPr>
        <w:t>其委托代理人</w:t>
      </w:r>
      <w:r>
        <w:rPr>
          <w:color w:val="auto"/>
          <w:spacing w:val="-8"/>
        </w:rPr>
        <w:t>：</w:t>
      </w:r>
      <w:r>
        <w:rPr>
          <w:color w:val="auto"/>
          <w:spacing w:val="-8"/>
          <w:u w:val="single"/>
        </w:rPr>
        <w:t xml:space="preserve"> </w:t>
      </w:r>
      <w:r>
        <w:rPr>
          <w:color w:val="auto"/>
          <w:spacing w:val="-8"/>
          <w:u w:val="single"/>
        </w:rPr>
        <w:tab/>
      </w:r>
      <w:r>
        <w:rPr>
          <w:color w:val="auto"/>
          <w:spacing w:val="-10"/>
        </w:rPr>
        <w:t>（签</w:t>
      </w:r>
      <w:r>
        <w:rPr>
          <w:color w:val="auto"/>
          <w:spacing w:val="-8"/>
        </w:rPr>
        <w:t>字</w:t>
      </w:r>
      <w:r>
        <w:rPr>
          <w:color w:val="auto"/>
        </w:rPr>
        <w:t>）</w:t>
      </w:r>
      <w:r>
        <w:rPr>
          <w:color w:val="auto"/>
        </w:rPr>
        <w:tab/>
      </w:r>
      <w:r>
        <w:rPr>
          <w:color w:val="auto"/>
          <w:spacing w:val="-10"/>
        </w:rPr>
        <w:t>法定代表人或其委</w:t>
      </w:r>
      <w:r>
        <w:rPr>
          <w:color w:val="auto"/>
          <w:spacing w:val="-8"/>
        </w:rPr>
        <w:t>托</w:t>
      </w:r>
      <w:r>
        <w:rPr>
          <w:color w:val="auto"/>
          <w:spacing w:val="-10"/>
        </w:rPr>
        <w:t>代理人</w:t>
      </w:r>
      <w:r>
        <w:rPr>
          <w:color w:val="auto"/>
          <w:spacing w:val="-7"/>
        </w:rPr>
        <w:t>：</w:t>
      </w:r>
      <w:r>
        <w:rPr>
          <w:color w:val="auto"/>
          <w:spacing w:val="-7"/>
          <w:u w:val="single"/>
        </w:rPr>
        <w:t xml:space="preserve"> </w:t>
      </w:r>
      <w:r>
        <w:rPr>
          <w:color w:val="auto"/>
          <w:spacing w:val="-7"/>
          <w:u w:val="single"/>
        </w:rPr>
        <w:tab/>
      </w:r>
      <w:r>
        <w:rPr>
          <w:color w:val="auto"/>
          <w:spacing w:val="-10"/>
        </w:rPr>
        <w:t>（签字）</w:t>
      </w:r>
    </w:p>
    <w:p>
      <w:pPr>
        <w:pStyle w:val="8"/>
        <w:tabs>
          <w:tab w:val="left" w:pos="1576"/>
          <w:tab w:val="left" w:pos="2485"/>
          <w:tab w:val="left" w:pos="3542"/>
          <w:tab w:val="left" w:pos="4807"/>
          <w:tab w:val="left" w:pos="5614"/>
          <w:tab w:val="left" w:pos="6725"/>
          <w:tab w:val="left" w:pos="7935"/>
        </w:tabs>
        <w:spacing w:before="170"/>
        <w:ind w:left="669"/>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rPr>
        <w:t>年</w:t>
      </w:r>
      <w:r>
        <w:rPr>
          <w:color w:val="auto"/>
          <w:spacing w:val="-8"/>
          <w:u w:val="single"/>
        </w:rPr>
        <w:t xml:space="preserve"> </w:t>
      </w:r>
      <w:r>
        <w:rPr>
          <w:color w:val="auto"/>
          <w:spacing w:val="-8"/>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u w:val="single"/>
        </w:rPr>
        <w:t xml:space="preserve"> </w:t>
      </w:r>
      <w:r>
        <w:rPr>
          <w:color w:val="auto"/>
          <w:u w:val="single"/>
        </w:rPr>
        <w:tab/>
      </w:r>
      <w:r>
        <w:rPr>
          <w:color w:val="auto"/>
          <w:spacing w:val="-8"/>
        </w:rPr>
        <w:t>年</w:t>
      </w:r>
      <w:r>
        <w:rPr>
          <w:color w:val="auto"/>
          <w:spacing w:val="-8"/>
          <w:u w:val="single"/>
        </w:rPr>
        <w:t xml:space="preserve"> </w:t>
      </w:r>
      <w:r>
        <w:rPr>
          <w:color w:val="auto"/>
          <w:spacing w:val="-8"/>
          <w:u w:val="single"/>
        </w:rPr>
        <w:tab/>
      </w:r>
      <w:r>
        <w:rPr>
          <w:color w:val="auto"/>
        </w:rPr>
        <w:t>月</w:t>
      </w:r>
      <w:r>
        <w:rPr>
          <w:color w:val="auto"/>
          <w:u w:val="single"/>
        </w:rPr>
        <w:t xml:space="preserve"> </w:t>
      </w:r>
      <w:r>
        <w:rPr>
          <w:color w:val="auto"/>
          <w:u w:val="single"/>
        </w:rPr>
        <w:tab/>
      </w:r>
      <w:r>
        <w:rPr>
          <w:color w:val="auto"/>
        </w:rPr>
        <w:t>日</w:t>
      </w:r>
    </w:p>
    <w:p>
      <w:pPr>
        <w:rPr>
          <w:color w:val="auto"/>
        </w:rPr>
        <w:sectPr>
          <w:footerReference r:id="rId33" w:type="default"/>
          <w:pgSz w:w="11910" w:h="16840"/>
          <w:pgMar w:top="1580" w:right="700" w:bottom="1040" w:left="920" w:header="0" w:footer="854" w:gutter="0"/>
          <w:cols w:space="720" w:num="1"/>
        </w:sectPr>
      </w:pPr>
    </w:p>
    <w:p>
      <w:pPr>
        <w:pStyle w:val="8"/>
        <w:rPr>
          <w:color w:val="auto"/>
          <w:sz w:val="20"/>
        </w:rPr>
      </w:pPr>
    </w:p>
    <w:p>
      <w:pPr>
        <w:pStyle w:val="8"/>
        <w:rPr>
          <w:color w:val="auto"/>
          <w:sz w:val="20"/>
        </w:rPr>
      </w:pPr>
    </w:p>
    <w:p>
      <w:pPr>
        <w:pStyle w:val="8"/>
        <w:spacing w:before="12"/>
        <w:rPr>
          <w:color w:val="auto"/>
          <w:sz w:val="26"/>
        </w:rPr>
      </w:pPr>
    </w:p>
    <w:p>
      <w:pPr>
        <w:pStyle w:val="41"/>
        <w:spacing w:before="66"/>
        <w:ind w:left="669" w:firstLine="0"/>
        <w:rPr>
          <w:color w:val="auto"/>
        </w:rPr>
      </w:pPr>
      <w:bookmarkStart w:id="314" w:name="附件二：履约担保格式"/>
      <w:bookmarkEnd w:id="314"/>
      <w:r>
        <w:rPr>
          <w:color w:val="auto"/>
        </w:rPr>
        <w:t>附件二：履约担保格式</w:t>
      </w:r>
    </w:p>
    <w:p>
      <w:pPr>
        <w:pStyle w:val="8"/>
        <w:rPr>
          <w:b/>
          <w:color w:val="auto"/>
          <w:sz w:val="20"/>
        </w:rPr>
      </w:pPr>
    </w:p>
    <w:p>
      <w:pPr>
        <w:pStyle w:val="8"/>
        <w:rPr>
          <w:b/>
          <w:color w:val="auto"/>
          <w:sz w:val="20"/>
        </w:rPr>
      </w:pPr>
    </w:p>
    <w:p>
      <w:pPr>
        <w:spacing w:before="240"/>
        <w:ind w:left="624" w:right="883"/>
        <w:jc w:val="center"/>
        <w:rPr>
          <w:rFonts w:ascii="黑体" w:eastAsia="黑体"/>
          <w:color w:val="auto"/>
          <w:sz w:val="28"/>
        </w:rPr>
      </w:pPr>
      <w:r>
        <w:rPr>
          <w:rFonts w:hint="eastAsia" w:ascii="黑体" w:eastAsia="黑体"/>
          <w:color w:val="auto"/>
          <w:sz w:val="28"/>
        </w:rPr>
        <w:t>履约担保</w:t>
      </w:r>
    </w:p>
    <w:p>
      <w:pPr>
        <w:pStyle w:val="8"/>
        <w:rPr>
          <w:rFonts w:ascii="黑体"/>
          <w:color w:val="auto"/>
          <w:sz w:val="28"/>
        </w:rPr>
      </w:pPr>
    </w:p>
    <w:p>
      <w:pPr>
        <w:pStyle w:val="8"/>
        <w:tabs>
          <w:tab w:val="left" w:pos="2870"/>
        </w:tabs>
        <w:spacing w:before="231"/>
        <w:ind w:left="669"/>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10"/>
        </w:rPr>
        <w:t>（发包人名称</w:t>
      </w:r>
      <w:r>
        <w:rPr>
          <w:color w:val="auto"/>
          <w:spacing w:val="-5"/>
        </w:rPr>
        <w:t>）：</w:t>
      </w:r>
    </w:p>
    <w:p>
      <w:pPr>
        <w:pStyle w:val="8"/>
        <w:rPr>
          <w:color w:val="auto"/>
          <w:sz w:val="20"/>
        </w:rPr>
      </w:pPr>
    </w:p>
    <w:p>
      <w:pPr>
        <w:pStyle w:val="8"/>
        <w:spacing w:before="8"/>
        <w:rPr>
          <w:color w:val="auto"/>
        </w:rPr>
      </w:pPr>
    </w:p>
    <w:p>
      <w:pPr>
        <w:pStyle w:val="8"/>
        <w:tabs>
          <w:tab w:val="left" w:pos="2002"/>
          <w:tab w:val="left" w:pos="6274"/>
        </w:tabs>
        <w:spacing w:before="79"/>
        <w:ind w:right="935"/>
        <w:jc w:val="right"/>
        <w:rPr>
          <w:color w:val="auto"/>
        </w:rPr>
      </w:pPr>
      <w:r>
        <w:rPr>
          <w:color w:val="auto"/>
          <w:spacing w:val="-10"/>
        </w:rPr>
        <w:t>鉴</w:t>
      </w:r>
      <w:r>
        <w:rPr>
          <w:color w:val="auto"/>
          <w:spacing w:val="-8"/>
        </w:rPr>
        <w:t>于</w:t>
      </w:r>
      <w:r>
        <w:rPr>
          <w:color w:val="auto"/>
          <w:spacing w:val="-8"/>
          <w:u w:val="single"/>
        </w:rPr>
        <w:t xml:space="preserve"> </w:t>
      </w:r>
      <w:r>
        <w:rPr>
          <w:color w:val="auto"/>
          <w:spacing w:val="-8"/>
          <w:u w:val="single"/>
        </w:rPr>
        <w:tab/>
      </w:r>
      <w:r>
        <w:rPr>
          <w:color w:val="auto"/>
          <w:spacing w:val="-8"/>
        </w:rPr>
        <w:t>（</w:t>
      </w:r>
      <w:r>
        <w:rPr>
          <w:color w:val="auto"/>
          <w:spacing w:val="-10"/>
        </w:rPr>
        <w:t>发包人名称</w:t>
      </w:r>
      <w:r>
        <w:rPr>
          <w:color w:val="auto"/>
          <w:spacing w:val="-25"/>
        </w:rPr>
        <w:t>，</w:t>
      </w:r>
      <w:r>
        <w:rPr>
          <w:color w:val="auto"/>
          <w:spacing w:val="-10"/>
        </w:rPr>
        <w:t>以下简</w:t>
      </w:r>
      <w:r>
        <w:rPr>
          <w:color w:val="auto"/>
          <w:spacing w:val="-8"/>
        </w:rPr>
        <w:t>称</w:t>
      </w:r>
      <w:r>
        <w:rPr>
          <w:rFonts w:ascii="Times New Roman" w:hAnsi="Times New Roman" w:eastAsia="Times New Roman"/>
          <w:color w:val="auto"/>
          <w:spacing w:val="-8"/>
        </w:rPr>
        <w:t>“</w:t>
      </w:r>
      <w:r>
        <w:rPr>
          <w:color w:val="auto"/>
          <w:spacing w:val="-8"/>
        </w:rPr>
        <w:t>发</w:t>
      </w:r>
      <w:r>
        <w:rPr>
          <w:color w:val="auto"/>
          <w:spacing w:val="-10"/>
        </w:rPr>
        <w:t>包</w:t>
      </w:r>
      <w:r>
        <w:rPr>
          <w:color w:val="auto"/>
          <w:spacing w:val="-7"/>
        </w:rPr>
        <w:t>人</w:t>
      </w:r>
      <w:r>
        <w:rPr>
          <w:rFonts w:ascii="Times New Roman" w:hAnsi="Times New Roman" w:eastAsia="Times New Roman"/>
          <w:color w:val="auto"/>
          <w:spacing w:val="-17"/>
        </w:rPr>
        <w:t>”</w:t>
      </w:r>
      <w:r>
        <w:rPr>
          <w:color w:val="auto"/>
          <w:spacing w:val="-17"/>
        </w:rPr>
        <w:t>）</w:t>
      </w:r>
      <w:r>
        <w:rPr>
          <w:color w:val="auto"/>
          <w:spacing w:val="-10"/>
        </w:rPr>
        <w:t>接</w:t>
      </w:r>
      <w:r>
        <w:rPr>
          <w:color w:val="auto"/>
        </w:rPr>
        <w:t>受</w:t>
      </w:r>
      <w:r>
        <w:rPr>
          <w:color w:val="auto"/>
          <w:u w:val="single"/>
        </w:rPr>
        <w:t xml:space="preserve"> </w:t>
      </w:r>
      <w:r>
        <w:rPr>
          <w:color w:val="auto"/>
          <w:u w:val="single"/>
        </w:rPr>
        <w:tab/>
      </w:r>
      <w:r>
        <w:rPr>
          <w:color w:val="auto"/>
          <w:spacing w:val="-10"/>
        </w:rPr>
        <w:t>（承包人名</w:t>
      </w:r>
      <w:r>
        <w:rPr>
          <w:color w:val="auto"/>
          <w:spacing w:val="-9"/>
        </w:rPr>
        <w:t>称</w:t>
      </w:r>
      <w:r>
        <w:rPr>
          <w:color w:val="auto"/>
          <w:spacing w:val="-24"/>
        </w:rPr>
        <w:t>，</w:t>
      </w:r>
      <w:r>
        <w:rPr>
          <w:color w:val="auto"/>
          <w:spacing w:val="-10"/>
        </w:rPr>
        <w:t>以下称</w:t>
      </w:r>
    </w:p>
    <w:p>
      <w:pPr>
        <w:pStyle w:val="8"/>
        <w:tabs>
          <w:tab w:val="left" w:pos="1571"/>
          <w:tab w:val="left" w:pos="2075"/>
          <w:tab w:val="left" w:pos="2580"/>
          <w:tab w:val="left" w:pos="4075"/>
        </w:tabs>
        <w:spacing w:before="170"/>
        <w:ind w:right="924"/>
        <w:jc w:val="right"/>
        <w:rPr>
          <w:color w:val="auto"/>
        </w:rPr>
      </w:pPr>
      <w:r>
        <w:rPr>
          <w:rFonts w:ascii="Times New Roman" w:hAnsi="Times New Roman" w:eastAsia="Times New Roman"/>
          <w:color w:val="auto"/>
          <w:spacing w:val="-5"/>
        </w:rPr>
        <w:t>“</w:t>
      </w:r>
      <w:r>
        <w:rPr>
          <w:color w:val="auto"/>
          <w:spacing w:val="-10"/>
        </w:rPr>
        <w:t>承包</w:t>
      </w:r>
      <w:r>
        <w:rPr>
          <w:color w:val="auto"/>
          <w:spacing w:val="-8"/>
        </w:rPr>
        <w:t>人</w:t>
      </w:r>
      <w:r>
        <w:rPr>
          <w:rFonts w:ascii="Times New Roman" w:hAnsi="Times New Roman" w:eastAsia="Times New Roman"/>
          <w:color w:val="auto"/>
          <w:spacing w:val="-17"/>
        </w:rPr>
        <w:t>”</w:t>
      </w:r>
      <w:r>
        <w:rPr>
          <w:color w:val="auto"/>
          <w:spacing w:val="-17"/>
        </w:rPr>
        <w:t>）</w:t>
      </w:r>
      <w:r>
        <w:rPr>
          <w:color w:val="auto"/>
          <w:spacing w:val="-8"/>
        </w:rPr>
        <w:t>于</w:t>
      </w:r>
      <w:r>
        <w:rPr>
          <w:color w:val="auto"/>
          <w:spacing w:val="-8"/>
          <w:u w:val="single"/>
        </w:rPr>
        <w:t xml:space="preserve"> </w:t>
      </w:r>
      <w:r>
        <w:rPr>
          <w:color w:val="auto"/>
          <w:spacing w:val="-8"/>
          <w:u w:val="single"/>
        </w:rPr>
        <w:tab/>
      </w:r>
      <w:r>
        <w:rPr>
          <w:color w:val="auto"/>
          <w:spacing w:val="-8"/>
        </w:rPr>
        <w:t>年</w:t>
      </w:r>
      <w:r>
        <w:rPr>
          <w:color w:val="auto"/>
          <w:spacing w:val="-8"/>
          <w:u w:val="single"/>
        </w:rPr>
        <w:t xml:space="preserve"> </w:t>
      </w:r>
      <w:r>
        <w:rPr>
          <w:color w:val="auto"/>
          <w:spacing w:val="-8"/>
          <w:u w:val="single"/>
        </w:rPr>
        <w:tab/>
      </w:r>
      <w:r>
        <w:rPr>
          <w:color w:val="auto"/>
          <w:spacing w:val="-7"/>
        </w:rPr>
        <w:t>月</w:t>
      </w:r>
      <w:r>
        <w:rPr>
          <w:color w:val="auto"/>
          <w:spacing w:val="-7"/>
          <w:u w:val="single"/>
        </w:rPr>
        <w:t xml:space="preserve"> </w:t>
      </w:r>
      <w:r>
        <w:rPr>
          <w:color w:val="auto"/>
          <w:spacing w:val="-7"/>
          <w:u w:val="single"/>
        </w:rPr>
        <w:tab/>
      </w:r>
      <w:r>
        <w:rPr>
          <w:color w:val="auto"/>
          <w:spacing w:val="-10"/>
        </w:rPr>
        <w:t>日参</w:t>
      </w:r>
      <w:r>
        <w:rPr>
          <w:color w:val="auto"/>
          <w:spacing w:val="-8"/>
        </w:rPr>
        <w:t>加</w:t>
      </w:r>
      <w:r>
        <w:rPr>
          <w:color w:val="auto"/>
          <w:spacing w:val="-8"/>
          <w:u w:val="single"/>
        </w:rPr>
        <w:t xml:space="preserve"> </w:t>
      </w:r>
      <w:r>
        <w:rPr>
          <w:color w:val="auto"/>
          <w:spacing w:val="-8"/>
          <w:u w:val="single"/>
        </w:rPr>
        <w:tab/>
      </w:r>
      <w:r>
        <w:rPr>
          <w:color w:val="auto"/>
          <w:spacing w:val="-10"/>
        </w:rPr>
        <w:t>（项目名称</w:t>
      </w:r>
      <w:r>
        <w:rPr>
          <w:color w:val="auto"/>
          <w:spacing w:val="-29"/>
        </w:rPr>
        <w:t>）</w:t>
      </w:r>
      <w:r>
        <w:rPr>
          <w:color w:val="auto"/>
          <w:spacing w:val="-10"/>
        </w:rPr>
        <w:t>的投</w:t>
      </w:r>
      <w:r>
        <w:rPr>
          <w:color w:val="auto"/>
          <w:spacing w:val="-8"/>
        </w:rPr>
        <w:t>标</w:t>
      </w:r>
      <w:r>
        <w:rPr>
          <w:color w:val="auto"/>
          <w:spacing w:val="-29"/>
        </w:rPr>
        <w:t>。</w:t>
      </w:r>
      <w:r>
        <w:rPr>
          <w:color w:val="auto"/>
          <w:spacing w:val="-10"/>
        </w:rPr>
        <w:t>我方愿意就承包人履行</w:t>
      </w:r>
      <w:r>
        <w:rPr>
          <w:color w:val="auto"/>
          <w:spacing w:val="-8"/>
        </w:rPr>
        <w:t>与</w:t>
      </w:r>
      <w:r>
        <w:rPr>
          <w:color w:val="auto"/>
          <w:spacing w:val="-10"/>
        </w:rPr>
        <w:t>你</w:t>
      </w:r>
      <w:r>
        <w:rPr>
          <w:color w:val="auto"/>
        </w:rPr>
        <w:t>方</w:t>
      </w:r>
    </w:p>
    <w:p>
      <w:pPr>
        <w:pStyle w:val="8"/>
        <w:spacing w:before="11"/>
        <w:rPr>
          <w:color w:val="auto"/>
          <w:sz w:val="7"/>
        </w:rPr>
      </w:pPr>
    </w:p>
    <w:p>
      <w:pPr>
        <w:pStyle w:val="8"/>
        <w:spacing w:before="72"/>
        <w:ind w:left="669"/>
        <w:rPr>
          <w:color w:val="auto"/>
        </w:rPr>
      </w:pPr>
      <w:r>
        <w:rPr>
          <w:color w:val="auto"/>
        </w:rPr>
        <w:t>订立的合同，向你方提供担保。</w:t>
      </w:r>
    </w:p>
    <w:p>
      <w:pPr>
        <w:pStyle w:val="44"/>
        <w:numPr>
          <w:ilvl w:val="0"/>
          <w:numId w:val="88"/>
        </w:numPr>
        <w:tabs>
          <w:tab w:val="left" w:pos="1322"/>
          <w:tab w:val="left" w:pos="5258"/>
          <w:tab w:val="left" w:pos="6871"/>
        </w:tabs>
        <w:spacing w:before="170"/>
        <w:rPr>
          <w:color w:val="auto"/>
          <w:sz w:val="21"/>
        </w:rPr>
      </w:pPr>
      <w:r>
        <w:rPr>
          <w:color w:val="auto"/>
          <w:spacing w:val="-10"/>
          <w:sz w:val="21"/>
        </w:rPr>
        <w:t>担保</w:t>
      </w:r>
      <w:r>
        <w:rPr>
          <w:color w:val="auto"/>
          <w:spacing w:val="-8"/>
          <w:sz w:val="21"/>
        </w:rPr>
        <w:t>金</w:t>
      </w:r>
      <w:r>
        <w:rPr>
          <w:color w:val="auto"/>
          <w:spacing w:val="-10"/>
          <w:sz w:val="21"/>
        </w:rPr>
        <w:t>额人民币（大写</w:t>
      </w:r>
      <w:r>
        <w:rPr>
          <w:color w:val="auto"/>
          <w:spacing w:val="-8"/>
          <w:sz w:val="21"/>
        </w:rPr>
        <w:t>）</w:t>
      </w:r>
      <w:r>
        <w:rPr>
          <w:color w:val="auto"/>
          <w:spacing w:val="-8"/>
          <w:sz w:val="21"/>
          <w:u w:val="single"/>
        </w:rPr>
        <w:t xml:space="preserve"> </w:t>
      </w:r>
      <w:r>
        <w:rPr>
          <w:color w:val="auto"/>
          <w:spacing w:val="-8"/>
          <w:sz w:val="21"/>
          <w:u w:val="single"/>
        </w:rPr>
        <w:tab/>
      </w:r>
      <w:r>
        <w:rPr>
          <w:color w:val="auto"/>
          <w:spacing w:val="-7"/>
          <w:sz w:val="21"/>
        </w:rPr>
        <w:t>（</w:t>
      </w:r>
      <w:r>
        <w:rPr>
          <w:rFonts w:ascii="Times New Roman" w:hAnsi="Times New Roman" w:eastAsia="Times New Roman"/>
          <w:color w:val="auto"/>
          <w:spacing w:val="-7"/>
          <w:sz w:val="21"/>
        </w:rPr>
        <w:t>¥</w:t>
      </w:r>
      <w:r>
        <w:rPr>
          <w:rFonts w:ascii="Times New Roman" w:hAnsi="Times New Roman" w:eastAsia="Times New Roman"/>
          <w:color w:val="auto"/>
          <w:spacing w:val="-7"/>
          <w:sz w:val="21"/>
          <w:u w:val="single"/>
        </w:rPr>
        <w:t xml:space="preserve"> </w:t>
      </w:r>
      <w:r>
        <w:rPr>
          <w:rFonts w:ascii="Times New Roman" w:hAnsi="Times New Roman" w:eastAsia="Times New Roman"/>
          <w:color w:val="auto"/>
          <w:spacing w:val="-7"/>
          <w:sz w:val="21"/>
          <w:u w:val="single"/>
        </w:rPr>
        <w:tab/>
      </w:r>
      <w:r>
        <w:rPr>
          <w:color w:val="auto"/>
          <w:spacing w:val="-8"/>
          <w:sz w:val="21"/>
        </w:rPr>
        <w:t>）。</w:t>
      </w:r>
    </w:p>
    <w:p>
      <w:pPr>
        <w:pStyle w:val="44"/>
        <w:numPr>
          <w:ilvl w:val="0"/>
          <w:numId w:val="88"/>
        </w:numPr>
        <w:tabs>
          <w:tab w:val="left" w:pos="1322"/>
        </w:tabs>
        <w:spacing w:before="170"/>
        <w:rPr>
          <w:color w:val="auto"/>
          <w:sz w:val="21"/>
        </w:rPr>
      </w:pPr>
      <w:r>
        <w:rPr>
          <w:color w:val="auto"/>
          <w:spacing w:val="-11"/>
          <w:sz w:val="21"/>
        </w:rPr>
        <w:t>担保有效期自发包人与承包人签订的合同生效之日起至发包人签发工程接收证书之日止。</w:t>
      </w:r>
    </w:p>
    <w:p>
      <w:pPr>
        <w:pStyle w:val="44"/>
        <w:numPr>
          <w:ilvl w:val="0"/>
          <w:numId w:val="89"/>
        </w:numPr>
        <w:tabs>
          <w:tab w:val="left" w:pos="1322"/>
        </w:tabs>
        <w:spacing w:before="172"/>
        <w:rPr>
          <w:color w:val="auto"/>
          <w:sz w:val="21"/>
        </w:rPr>
      </w:pPr>
      <w:r>
        <w:rPr>
          <w:color w:val="auto"/>
          <w:spacing w:val="-11"/>
          <w:sz w:val="21"/>
        </w:rPr>
        <w:t>担保有效期自发包人与承包人签订的合同生效之日起至承包人通过竣工后试验之日止。</w:t>
      </w:r>
    </w:p>
    <w:p>
      <w:pPr>
        <w:pStyle w:val="44"/>
        <w:numPr>
          <w:ilvl w:val="0"/>
          <w:numId w:val="89"/>
        </w:numPr>
        <w:tabs>
          <w:tab w:val="left" w:pos="1322"/>
        </w:tabs>
        <w:spacing w:before="171" w:line="391" w:lineRule="auto"/>
        <w:ind w:left="669" w:right="926" w:firstLine="403"/>
        <w:rPr>
          <w:color w:val="auto"/>
          <w:sz w:val="21"/>
        </w:rPr>
      </w:pPr>
      <w:r>
        <w:rPr>
          <w:color w:val="auto"/>
          <w:spacing w:val="-14"/>
          <w:sz w:val="21"/>
        </w:rPr>
        <w:t>在本担保有效期内，因承包人违反合同约定的义务给你方造成经济损失时，我方在收到你方</w:t>
      </w:r>
      <w:r>
        <w:rPr>
          <w:color w:val="auto"/>
          <w:spacing w:val="-13"/>
          <w:sz w:val="21"/>
        </w:rPr>
        <w:t xml:space="preserve">以书面形式提出的在担保金额内的赔偿要求后，在 </w:t>
      </w:r>
      <w:r>
        <w:rPr>
          <w:rFonts w:ascii="Times New Roman" w:eastAsia="Times New Roman"/>
          <w:color w:val="auto"/>
          <w:sz w:val="21"/>
        </w:rPr>
        <w:t>7</w:t>
      </w:r>
      <w:r>
        <w:rPr>
          <w:rFonts w:ascii="Times New Roman" w:eastAsia="Times New Roman"/>
          <w:color w:val="auto"/>
          <w:spacing w:val="-10"/>
          <w:sz w:val="21"/>
        </w:rPr>
        <w:t xml:space="preserve"> </w:t>
      </w:r>
      <w:r>
        <w:rPr>
          <w:color w:val="auto"/>
          <w:spacing w:val="-10"/>
          <w:sz w:val="21"/>
        </w:rPr>
        <w:t>天内支付。</w:t>
      </w:r>
    </w:p>
    <w:p>
      <w:pPr>
        <w:pStyle w:val="44"/>
        <w:numPr>
          <w:ilvl w:val="0"/>
          <w:numId w:val="89"/>
        </w:numPr>
        <w:tabs>
          <w:tab w:val="left" w:pos="1322"/>
        </w:tabs>
        <w:spacing w:before="4"/>
        <w:rPr>
          <w:color w:val="auto"/>
          <w:sz w:val="21"/>
        </w:rPr>
      </w:pPr>
      <w:r>
        <w:rPr>
          <w:color w:val="auto"/>
          <w:spacing w:val="-17"/>
          <w:sz w:val="21"/>
        </w:rPr>
        <w:t xml:space="preserve">发包人和承包人按《通用合同条款》第 </w:t>
      </w:r>
      <w:r>
        <w:rPr>
          <w:rFonts w:ascii="Times New Roman" w:eastAsia="Times New Roman"/>
          <w:color w:val="auto"/>
          <w:spacing w:val="-3"/>
          <w:sz w:val="21"/>
        </w:rPr>
        <w:t>15</w:t>
      </w:r>
      <w:r>
        <w:rPr>
          <w:rFonts w:ascii="Times New Roman" w:eastAsia="Times New Roman"/>
          <w:color w:val="auto"/>
          <w:spacing w:val="-8"/>
          <w:sz w:val="21"/>
        </w:rPr>
        <w:t xml:space="preserve"> </w:t>
      </w:r>
      <w:r>
        <w:rPr>
          <w:color w:val="auto"/>
          <w:spacing w:val="-13"/>
          <w:sz w:val="21"/>
        </w:rPr>
        <w:t>条变更合同时，我方承担本担保规定的义务不变。</w:t>
      </w:r>
    </w:p>
    <w:p>
      <w:pPr>
        <w:pStyle w:val="8"/>
        <w:rPr>
          <w:color w:val="auto"/>
          <w:sz w:val="22"/>
        </w:rPr>
      </w:pPr>
    </w:p>
    <w:p>
      <w:pPr>
        <w:pStyle w:val="8"/>
        <w:rPr>
          <w:color w:val="auto"/>
          <w:sz w:val="22"/>
        </w:rPr>
      </w:pPr>
    </w:p>
    <w:p>
      <w:pPr>
        <w:pStyle w:val="8"/>
        <w:tabs>
          <w:tab w:val="left" w:pos="7385"/>
        </w:tabs>
        <w:spacing w:before="172"/>
        <w:ind w:left="3955"/>
        <w:rPr>
          <w:color w:val="auto"/>
        </w:rPr>
      </w:pPr>
      <w:r>
        <w:rPr>
          <w:color w:val="auto"/>
        </w:rPr>
        <w:t>担 保</w:t>
      </w:r>
      <w:r>
        <w:rPr>
          <w:color w:val="auto"/>
          <w:spacing w:val="-26"/>
        </w:rPr>
        <w:t xml:space="preserve"> </w:t>
      </w:r>
      <w:r>
        <w:rPr>
          <w:color w:val="auto"/>
          <w:spacing w:val="-10"/>
        </w:rPr>
        <w:t>人</w:t>
      </w:r>
      <w:r>
        <w:rPr>
          <w:color w:val="auto"/>
          <w:spacing w:val="-8"/>
        </w:rPr>
        <w:t>：</w:t>
      </w:r>
      <w:r>
        <w:rPr>
          <w:color w:val="auto"/>
          <w:spacing w:val="-8"/>
          <w:u w:val="single"/>
        </w:rPr>
        <w:t xml:space="preserve"> </w:t>
      </w:r>
      <w:r>
        <w:rPr>
          <w:color w:val="auto"/>
          <w:spacing w:val="-8"/>
          <w:u w:val="single"/>
        </w:rPr>
        <w:tab/>
      </w:r>
      <w:r>
        <w:rPr>
          <w:color w:val="auto"/>
          <w:spacing w:val="-8"/>
        </w:rPr>
        <w:t>（</w:t>
      </w:r>
      <w:r>
        <w:rPr>
          <w:color w:val="auto"/>
          <w:spacing w:val="-10"/>
        </w:rPr>
        <w:t>盖单位章</w:t>
      </w:r>
      <w:r>
        <w:rPr>
          <w:color w:val="auto"/>
        </w:rPr>
        <w:t>）</w:t>
      </w:r>
    </w:p>
    <w:p>
      <w:pPr>
        <w:pStyle w:val="8"/>
        <w:spacing w:before="9"/>
        <w:rPr>
          <w:color w:val="auto"/>
          <w:sz w:val="19"/>
        </w:rPr>
      </w:pPr>
    </w:p>
    <w:p>
      <w:pPr>
        <w:pStyle w:val="8"/>
        <w:tabs>
          <w:tab w:val="left" w:pos="7790"/>
        </w:tabs>
        <w:spacing w:before="79"/>
        <w:ind w:left="3955"/>
        <w:rPr>
          <w:color w:val="auto"/>
        </w:rPr>
      </w:pPr>
      <w:r>
        <w:rPr>
          <w:color w:val="auto"/>
          <w:spacing w:val="-10"/>
        </w:rPr>
        <w:t>法定代表人</w:t>
      </w:r>
      <w:r>
        <w:rPr>
          <w:color w:val="auto"/>
          <w:spacing w:val="-8"/>
        </w:rPr>
        <w:t>或</w:t>
      </w:r>
      <w:r>
        <w:rPr>
          <w:color w:val="auto"/>
          <w:spacing w:val="-10"/>
        </w:rPr>
        <w:t>其委托代理人</w:t>
      </w:r>
      <w:r>
        <w:rPr>
          <w:color w:val="auto"/>
          <w:spacing w:val="-8"/>
        </w:rPr>
        <w:t>：</w:t>
      </w:r>
      <w:r>
        <w:rPr>
          <w:color w:val="auto"/>
          <w:spacing w:val="-8"/>
          <w:u w:val="single"/>
        </w:rPr>
        <w:t xml:space="preserve"> </w:t>
      </w:r>
      <w:r>
        <w:rPr>
          <w:color w:val="auto"/>
          <w:spacing w:val="-8"/>
          <w:u w:val="single"/>
        </w:rPr>
        <w:tab/>
      </w:r>
      <w:r>
        <w:rPr>
          <w:color w:val="auto"/>
          <w:spacing w:val="-10"/>
        </w:rPr>
        <w:t>（签字）</w:t>
      </w:r>
    </w:p>
    <w:p>
      <w:pPr>
        <w:pStyle w:val="8"/>
        <w:spacing w:before="9"/>
        <w:rPr>
          <w:color w:val="auto"/>
          <w:sz w:val="19"/>
        </w:rPr>
      </w:pPr>
    </w:p>
    <w:p>
      <w:pPr>
        <w:pStyle w:val="8"/>
        <w:tabs>
          <w:tab w:val="left" w:pos="4560"/>
          <w:tab w:val="left" w:pos="8645"/>
        </w:tabs>
        <w:spacing w:before="78"/>
        <w:ind w:left="3955"/>
        <w:rPr>
          <w:rFonts w:ascii="Times New Roman" w:eastAsia="Times New Roman"/>
          <w:color w:val="auto"/>
        </w:rPr>
      </w:pPr>
      <w:r>
        <w:rPr>
          <w:color w:val="auto"/>
        </w:rPr>
        <w:t>地</w:t>
      </w:r>
      <w:r>
        <w:rPr>
          <w:color w:val="auto"/>
        </w:rPr>
        <w:tab/>
      </w:r>
      <w:r>
        <w:rPr>
          <w:color w:val="auto"/>
          <w:spacing w:val="-10"/>
        </w:rPr>
        <w:t>址</w:t>
      </w:r>
      <w:r>
        <w:rPr>
          <w:color w:val="auto"/>
          <w:spacing w:val="-8"/>
        </w:rPr>
        <w:t>：</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2"/>
        </w:rPr>
      </w:pPr>
    </w:p>
    <w:p>
      <w:pPr>
        <w:pStyle w:val="8"/>
        <w:tabs>
          <w:tab w:val="left" w:pos="8480"/>
        </w:tabs>
        <w:spacing w:before="78"/>
        <w:ind w:left="3955"/>
        <w:rPr>
          <w:rFonts w:ascii="Times New Roman" w:eastAsia="Times New Roman"/>
          <w:color w:val="auto"/>
        </w:rPr>
      </w:pPr>
      <w:r>
        <w:rPr>
          <w:color w:val="auto"/>
          <w:spacing w:val="-10"/>
        </w:rPr>
        <w:t>邮政编码：</w:t>
      </w:r>
      <w:r>
        <w:rPr>
          <w:rFonts w:ascii="Times New Roman" w:eastAsia="Times New Roman"/>
          <w:color w:val="auto"/>
          <w:u w:val="single"/>
        </w:rPr>
        <w:t xml:space="preserve"> </w:t>
      </w:r>
      <w:r>
        <w:rPr>
          <w:rFonts w:ascii="Times New Roman" w:eastAsia="Times New Roman"/>
          <w:color w:val="auto"/>
          <w:u w:val="single"/>
        </w:rPr>
        <w:tab/>
      </w:r>
    </w:p>
    <w:p>
      <w:pPr>
        <w:pStyle w:val="8"/>
        <w:spacing w:before="1"/>
        <w:rPr>
          <w:rFonts w:ascii="Times New Roman"/>
          <w:color w:val="auto"/>
          <w:sz w:val="22"/>
        </w:rPr>
      </w:pPr>
    </w:p>
    <w:p>
      <w:pPr>
        <w:pStyle w:val="8"/>
        <w:tabs>
          <w:tab w:val="left" w:pos="4560"/>
          <w:tab w:val="left" w:pos="8544"/>
        </w:tabs>
        <w:spacing w:before="78"/>
        <w:ind w:left="3955"/>
        <w:rPr>
          <w:rFonts w:ascii="Times New Roman" w:eastAsia="Times New Roman"/>
          <w:color w:val="auto"/>
        </w:rPr>
      </w:pPr>
      <w:r>
        <w:rPr>
          <w:color w:val="auto"/>
        </w:rPr>
        <w:t>电</w:t>
      </w:r>
      <w:r>
        <w:rPr>
          <w:color w:val="auto"/>
        </w:rPr>
        <w:tab/>
      </w:r>
      <w:r>
        <w:rPr>
          <w:color w:val="auto"/>
          <w:spacing w:val="-10"/>
        </w:rPr>
        <w:t>话</w:t>
      </w:r>
      <w:r>
        <w:rPr>
          <w:color w:val="auto"/>
          <w:spacing w:val="-8"/>
        </w:rPr>
        <w:t>：</w:t>
      </w:r>
      <w:r>
        <w:rPr>
          <w:rFonts w:ascii="Times New Roman" w:eastAsia="Times New Roman"/>
          <w:color w:val="auto"/>
          <w:u w:val="single"/>
        </w:rPr>
        <w:t xml:space="preserve"> </w:t>
      </w:r>
      <w:r>
        <w:rPr>
          <w:rFonts w:ascii="Times New Roman" w:eastAsia="Times New Roman"/>
          <w:color w:val="auto"/>
          <w:u w:val="single"/>
        </w:rPr>
        <w:tab/>
      </w:r>
    </w:p>
    <w:p>
      <w:pPr>
        <w:pStyle w:val="8"/>
        <w:spacing w:before="6"/>
        <w:rPr>
          <w:rFonts w:ascii="Times New Roman"/>
          <w:color w:val="auto"/>
          <w:sz w:val="22"/>
        </w:rPr>
      </w:pPr>
    </w:p>
    <w:p>
      <w:pPr>
        <w:pStyle w:val="8"/>
        <w:tabs>
          <w:tab w:val="left" w:pos="5870"/>
          <w:tab w:val="left" w:pos="6881"/>
          <w:tab w:val="left" w:pos="7889"/>
        </w:tabs>
        <w:spacing w:before="72"/>
        <w:ind w:left="486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rPr>
        <w:t>年</w:t>
      </w:r>
      <w:r>
        <w:rPr>
          <w:color w:val="auto"/>
          <w:spacing w:val="-8"/>
          <w:u w:val="single"/>
        </w:rPr>
        <w:t xml:space="preserve"> </w:t>
      </w:r>
      <w:r>
        <w:rPr>
          <w:color w:val="auto"/>
          <w:spacing w:val="-8"/>
          <w:u w:val="single"/>
        </w:rPr>
        <w:tab/>
      </w:r>
      <w:r>
        <w:rPr>
          <w:color w:val="auto"/>
          <w:spacing w:val="-8"/>
        </w:rPr>
        <w:t>月</w:t>
      </w:r>
      <w:r>
        <w:rPr>
          <w:color w:val="auto"/>
          <w:spacing w:val="-8"/>
          <w:u w:val="single"/>
        </w:rPr>
        <w:t xml:space="preserve"> </w:t>
      </w:r>
      <w:r>
        <w:rPr>
          <w:color w:val="auto"/>
          <w:spacing w:val="-8"/>
          <w:u w:val="single"/>
        </w:rPr>
        <w:tab/>
      </w:r>
      <w:r>
        <w:rPr>
          <w:color w:val="auto"/>
        </w:rPr>
        <w:t>日</w:t>
      </w:r>
    </w:p>
    <w:p>
      <w:pPr>
        <w:rPr>
          <w:color w:val="auto"/>
        </w:rPr>
        <w:sectPr>
          <w:pgSz w:w="11910" w:h="16840"/>
          <w:pgMar w:top="1580" w:right="700" w:bottom="1040" w:left="920" w:header="0" w:footer="854" w:gutter="0"/>
          <w:cols w:space="720" w:num="1"/>
        </w:sectPr>
      </w:pPr>
    </w:p>
    <w:p>
      <w:pPr>
        <w:pStyle w:val="8"/>
        <w:rPr>
          <w:color w:val="auto"/>
          <w:sz w:val="20"/>
        </w:rPr>
      </w:pPr>
    </w:p>
    <w:p>
      <w:pPr>
        <w:pStyle w:val="8"/>
        <w:rPr>
          <w:color w:val="auto"/>
          <w:sz w:val="20"/>
        </w:rPr>
      </w:pPr>
    </w:p>
    <w:p>
      <w:pPr>
        <w:pStyle w:val="8"/>
        <w:rPr>
          <w:color w:val="auto"/>
          <w:sz w:val="20"/>
        </w:rPr>
      </w:pPr>
    </w:p>
    <w:p>
      <w:pPr>
        <w:pStyle w:val="8"/>
        <w:spacing w:before="6"/>
        <w:rPr>
          <w:color w:val="auto"/>
          <w:sz w:val="19"/>
        </w:rPr>
      </w:pPr>
    </w:p>
    <w:p>
      <w:pPr>
        <w:pStyle w:val="41"/>
        <w:spacing w:before="67"/>
        <w:ind w:left="669" w:firstLine="0"/>
        <w:rPr>
          <w:color w:val="auto"/>
        </w:rPr>
      </w:pPr>
      <w:bookmarkStart w:id="315" w:name="附件三：预付款担保格式"/>
      <w:bookmarkEnd w:id="315"/>
      <w:r>
        <w:rPr>
          <w:color w:val="auto"/>
        </w:rPr>
        <w:t>附件三：预付款担保格式</w:t>
      </w:r>
    </w:p>
    <w:p>
      <w:pPr>
        <w:pStyle w:val="8"/>
        <w:rPr>
          <w:b/>
          <w:color w:val="auto"/>
          <w:sz w:val="20"/>
        </w:rPr>
      </w:pPr>
    </w:p>
    <w:p>
      <w:pPr>
        <w:pStyle w:val="8"/>
        <w:rPr>
          <w:b/>
          <w:color w:val="auto"/>
          <w:sz w:val="20"/>
        </w:rPr>
      </w:pPr>
    </w:p>
    <w:p>
      <w:pPr>
        <w:spacing w:before="237"/>
        <w:ind w:left="612" w:right="883"/>
        <w:jc w:val="center"/>
        <w:rPr>
          <w:rFonts w:ascii="黑体" w:eastAsia="黑体"/>
          <w:color w:val="auto"/>
          <w:sz w:val="28"/>
        </w:rPr>
      </w:pPr>
      <w:r>
        <w:rPr>
          <w:rFonts w:hint="eastAsia" w:ascii="黑体" w:eastAsia="黑体"/>
          <w:color w:val="auto"/>
          <w:sz w:val="28"/>
        </w:rPr>
        <w:t>预付款担保</w:t>
      </w:r>
    </w:p>
    <w:p>
      <w:pPr>
        <w:pStyle w:val="8"/>
        <w:rPr>
          <w:rFonts w:ascii="黑体"/>
          <w:color w:val="auto"/>
          <w:sz w:val="20"/>
        </w:rPr>
      </w:pPr>
    </w:p>
    <w:p>
      <w:pPr>
        <w:pStyle w:val="8"/>
        <w:spacing w:before="1"/>
        <w:rPr>
          <w:rFonts w:ascii="黑体"/>
          <w:color w:val="auto"/>
          <w:sz w:val="20"/>
        </w:rPr>
      </w:pPr>
    </w:p>
    <w:p>
      <w:pPr>
        <w:pStyle w:val="8"/>
        <w:tabs>
          <w:tab w:val="left" w:pos="2497"/>
        </w:tabs>
        <w:spacing w:before="78"/>
        <w:ind w:left="669"/>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rPr>
        <w:t xml:space="preserve"> </w:t>
      </w:r>
      <w:r>
        <w:rPr>
          <w:color w:val="auto"/>
          <w:spacing w:val="-10"/>
        </w:rPr>
        <w:t>（发包人名称</w:t>
      </w:r>
      <w:r>
        <w:rPr>
          <w:color w:val="auto"/>
          <w:spacing w:val="-5"/>
        </w:rPr>
        <w:t>）：</w:t>
      </w:r>
    </w:p>
    <w:p>
      <w:pPr>
        <w:pStyle w:val="8"/>
        <w:rPr>
          <w:color w:val="auto"/>
          <w:sz w:val="20"/>
        </w:rPr>
      </w:pPr>
    </w:p>
    <w:p>
      <w:pPr>
        <w:pStyle w:val="8"/>
        <w:spacing w:before="9"/>
        <w:rPr>
          <w:color w:val="auto"/>
        </w:rPr>
      </w:pPr>
    </w:p>
    <w:p>
      <w:pPr>
        <w:pStyle w:val="8"/>
        <w:tabs>
          <w:tab w:val="left" w:pos="2373"/>
          <w:tab w:val="left" w:pos="2795"/>
          <w:tab w:val="left" w:pos="3451"/>
          <w:tab w:val="left" w:pos="4056"/>
          <w:tab w:val="left" w:pos="5753"/>
          <w:tab w:val="left" w:pos="7349"/>
        </w:tabs>
        <w:spacing w:before="78" w:line="391" w:lineRule="auto"/>
        <w:ind w:left="669" w:right="925" w:firstLine="403"/>
        <w:rPr>
          <w:color w:val="auto"/>
        </w:rPr>
      </w:pPr>
      <w:r>
        <w:rPr>
          <w:color w:val="auto"/>
          <w:spacing w:val="-10"/>
        </w:rPr>
        <w:t>根</w:t>
      </w:r>
      <w:r>
        <w:rPr>
          <w:color w:val="auto"/>
          <w:spacing w:val="-8"/>
        </w:rPr>
        <w:t>据</w:t>
      </w:r>
      <w:r>
        <w:rPr>
          <w:color w:val="auto"/>
          <w:spacing w:val="-8"/>
          <w:u w:val="single"/>
        </w:rPr>
        <w:t xml:space="preserve"> </w:t>
      </w:r>
      <w:r>
        <w:rPr>
          <w:color w:val="auto"/>
          <w:spacing w:val="-8"/>
          <w:u w:val="single"/>
        </w:rPr>
        <w:tab/>
      </w:r>
      <w:r>
        <w:rPr>
          <w:color w:val="auto"/>
          <w:spacing w:val="-10"/>
        </w:rPr>
        <w:t>（承包人</w:t>
      </w:r>
      <w:r>
        <w:rPr>
          <w:color w:val="auto"/>
          <w:spacing w:val="-9"/>
        </w:rPr>
        <w:t>名</w:t>
      </w:r>
      <w:r>
        <w:rPr>
          <w:color w:val="auto"/>
          <w:spacing w:val="-8"/>
        </w:rPr>
        <w:t>称</w:t>
      </w:r>
      <w:r>
        <w:rPr>
          <w:color w:val="auto"/>
          <w:spacing w:val="-22"/>
        </w:rPr>
        <w:t>）（</w:t>
      </w:r>
      <w:r>
        <w:rPr>
          <w:color w:val="auto"/>
          <w:spacing w:val="-10"/>
        </w:rPr>
        <w:t>以下</w:t>
      </w:r>
      <w:r>
        <w:rPr>
          <w:color w:val="auto"/>
          <w:spacing w:val="-8"/>
        </w:rPr>
        <w:t>称</w:t>
      </w:r>
      <w:r>
        <w:rPr>
          <w:rFonts w:ascii="Times New Roman" w:hAnsi="Times New Roman" w:eastAsia="Times New Roman"/>
          <w:color w:val="auto"/>
          <w:spacing w:val="-5"/>
        </w:rPr>
        <w:t>“</w:t>
      </w:r>
      <w:r>
        <w:rPr>
          <w:color w:val="auto"/>
          <w:spacing w:val="-10"/>
        </w:rPr>
        <w:t>承包</w:t>
      </w:r>
      <w:r>
        <w:rPr>
          <w:color w:val="auto"/>
          <w:spacing w:val="-8"/>
        </w:rPr>
        <w:t>人</w:t>
      </w:r>
      <w:r>
        <w:rPr>
          <w:rFonts w:ascii="Times New Roman" w:hAnsi="Times New Roman" w:eastAsia="Times New Roman"/>
          <w:color w:val="auto"/>
          <w:spacing w:val="-15"/>
        </w:rPr>
        <w:t>”</w:t>
      </w:r>
      <w:r>
        <w:rPr>
          <w:color w:val="auto"/>
          <w:spacing w:val="-15"/>
        </w:rPr>
        <w:t>）</w:t>
      </w:r>
      <w:r>
        <w:rPr>
          <w:color w:val="auto"/>
          <w:spacing w:val="-10"/>
        </w:rPr>
        <w:t>与</w:t>
      </w:r>
      <w:r>
        <w:rPr>
          <w:color w:val="auto"/>
          <w:spacing w:val="-10"/>
          <w:u w:val="single"/>
        </w:rPr>
        <w:t xml:space="preserve"> </w:t>
      </w:r>
      <w:r>
        <w:rPr>
          <w:color w:val="auto"/>
          <w:spacing w:val="-10"/>
          <w:u w:val="single"/>
        </w:rPr>
        <w:tab/>
      </w:r>
      <w:r>
        <w:rPr>
          <w:color w:val="auto"/>
          <w:spacing w:val="-10"/>
        </w:rPr>
        <w:t>（发包人名</w:t>
      </w:r>
      <w:r>
        <w:rPr>
          <w:color w:val="auto"/>
          <w:spacing w:val="-8"/>
        </w:rPr>
        <w:t>称</w:t>
      </w:r>
      <w:r>
        <w:rPr>
          <w:color w:val="auto"/>
          <w:spacing w:val="-22"/>
        </w:rPr>
        <w:t>）（</w:t>
      </w:r>
      <w:r>
        <w:rPr>
          <w:color w:val="auto"/>
          <w:spacing w:val="-10"/>
        </w:rPr>
        <w:t>以</w:t>
      </w:r>
      <w:r>
        <w:rPr>
          <w:color w:val="auto"/>
        </w:rPr>
        <w:t>下</w:t>
      </w:r>
      <w:r>
        <w:rPr>
          <w:color w:val="auto"/>
          <w:spacing w:val="-10"/>
        </w:rPr>
        <w:t>简</w:t>
      </w:r>
      <w:r>
        <w:rPr>
          <w:color w:val="auto"/>
          <w:spacing w:val="-8"/>
        </w:rPr>
        <w:t>称</w:t>
      </w:r>
      <w:r>
        <w:rPr>
          <w:rFonts w:ascii="Times New Roman" w:hAnsi="Times New Roman" w:eastAsia="Times New Roman"/>
          <w:color w:val="auto"/>
          <w:spacing w:val="-8"/>
        </w:rPr>
        <w:t>“</w:t>
      </w:r>
      <w:r>
        <w:rPr>
          <w:color w:val="auto"/>
          <w:spacing w:val="-10"/>
        </w:rPr>
        <w:t>发</w:t>
      </w:r>
      <w:r>
        <w:rPr>
          <w:color w:val="auto"/>
          <w:spacing w:val="-8"/>
        </w:rPr>
        <w:t>包人</w:t>
      </w:r>
      <w:r>
        <w:rPr>
          <w:rFonts w:ascii="Times New Roman" w:hAnsi="Times New Roman" w:eastAsia="Times New Roman"/>
          <w:color w:val="auto"/>
          <w:spacing w:val="-19"/>
        </w:rPr>
        <w:t>”</w:t>
      </w:r>
      <w:r>
        <w:rPr>
          <w:color w:val="auto"/>
          <w:spacing w:val="-19"/>
        </w:rPr>
        <w:t>）</w:t>
      </w:r>
      <w:r>
        <w:rPr>
          <w:color w:val="auto"/>
          <w:spacing w:val="-8"/>
        </w:rPr>
        <w:t>于</w:t>
      </w:r>
      <w:r>
        <w:rPr>
          <w:color w:val="auto"/>
          <w:spacing w:val="-8"/>
          <w:u w:val="single"/>
        </w:rPr>
        <w:t xml:space="preserve"> </w:t>
      </w:r>
      <w:r>
        <w:rPr>
          <w:color w:val="auto"/>
          <w:spacing w:val="-8"/>
          <w:u w:val="single"/>
        </w:rPr>
        <w:tab/>
      </w:r>
      <w:r>
        <w:rPr>
          <w:color w:val="auto"/>
          <w:spacing w:val="-8"/>
          <w:u w:val="single"/>
        </w:rPr>
        <w:tab/>
      </w:r>
      <w:r>
        <w:rPr>
          <w:color w:val="auto"/>
          <w:spacing w:val="-9"/>
        </w:rPr>
        <w:t>年</w:t>
      </w:r>
      <w:r>
        <w:rPr>
          <w:color w:val="auto"/>
          <w:spacing w:val="-9"/>
          <w:u w:val="single"/>
        </w:rPr>
        <w:t xml:space="preserve"> </w:t>
      </w:r>
      <w:r>
        <w:rPr>
          <w:color w:val="auto"/>
          <w:spacing w:val="-9"/>
          <w:u w:val="single"/>
        </w:rPr>
        <w:tab/>
      </w:r>
      <w:r>
        <w:rPr>
          <w:color w:val="auto"/>
          <w:spacing w:val="-8"/>
        </w:rPr>
        <w:t>月</w:t>
      </w:r>
      <w:r>
        <w:rPr>
          <w:color w:val="auto"/>
          <w:spacing w:val="-8"/>
          <w:u w:val="single"/>
        </w:rPr>
        <w:t xml:space="preserve"> </w:t>
      </w:r>
      <w:r>
        <w:rPr>
          <w:color w:val="auto"/>
          <w:spacing w:val="-8"/>
          <w:u w:val="single"/>
        </w:rPr>
        <w:tab/>
      </w:r>
      <w:r>
        <w:rPr>
          <w:color w:val="auto"/>
          <w:spacing w:val="-8"/>
        </w:rPr>
        <w:t>日</w:t>
      </w:r>
      <w:r>
        <w:rPr>
          <w:color w:val="auto"/>
          <w:spacing w:val="-10"/>
        </w:rPr>
        <w:t>签订</w:t>
      </w:r>
      <w:r>
        <w:rPr>
          <w:color w:val="auto"/>
          <w:spacing w:val="-8"/>
        </w:rPr>
        <w:t>的</w:t>
      </w:r>
      <w:r>
        <w:rPr>
          <w:color w:val="auto"/>
          <w:spacing w:val="-8"/>
          <w:u w:val="single"/>
        </w:rPr>
        <w:t xml:space="preserve"> </w:t>
      </w:r>
      <w:r>
        <w:rPr>
          <w:color w:val="auto"/>
          <w:spacing w:val="-8"/>
          <w:u w:val="single"/>
        </w:rPr>
        <w:tab/>
      </w:r>
      <w:r>
        <w:rPr>
          <w:color w:val="auto"/>
          <w:spacing w:val="-10"/>
        </w:rPr>
        <w:t>（项目</w:t>
      </w:r>
      <w:r>
        <w:rPr>
          <w:color w:val="auto"/>
          <w:spacing w:val="-8"/>
        </w:rPr>
        <w:t>名</w:t>
      </w:r>
      <w:r>
        <w:rPr>
          <w:color w:val="auto"/>
          <w:spacing w:val="-10"/>
        </w:rPr>
        <w:t>称</w:t>
      </w:r>
      <w:r>
        <w:rPr>
          <w:color w:val="auto"/>
          <w:spacing w:val="-30"/>
        </w:rPr>
        <w:t>）</w:t>
      </w:r>
      <w:r>
        <w:rPr>
          <w:color w:val="auto"/>
          <w:spacing w:val="-10"/>
        </w:rPr>
        <w:t>设计施工总承</w:t>
      </w:r>
      <w:r>
        <w:rPr>
          <w:color w:val="auto"/>
          <w:spacing w:val="-9"/>
        </w:rPr>
        <w:t>包</w:t>
      </w:r>
      <w:r>
        <w:rPr>
          <w:color w:val="auto"/>
          <w:spacing w:val="-10"/>
        </w:rPr>
        <w:t>合同</w:t>
      </w:r>
      <w:r>
        <w:rPr>
          <w:color w:val="auto"/>
          <w:spacing w:val="-27"/>
        </w:rPr>
        <w:t>，</w:t>
      </w:r>
      <w:r>
        <w:rPr>
          <w:color w:val="auto"/>
          <w:spacing w:val="-10"/>
        </w:rPr>
        <w:t>承</w:t>
      </w:r>
      <w:r>
        <w:rPr>
          <w:color w:val="auto"/>
        </w:rPr>
        <w:t>包</w:t>
      </w:r>
    </w:p>
    <w:p>
      <w:pPr>
        <w:pStyle w:val="8"/>
        <w:spacing w:before="1" w:line="393" w:lineRule="auto"/>
        <w:ind w:left="669" w:right="925"/>
        <w:rPr>
          <w:color w:val="auto"/>
        </w:rPr>
      </w:pPr>
      <w:r>
        <w:rPr>
          <w:color w:val="auto"/>
          <w:spacing w:val="-10"/>
        </w:rPr>
        <w:t>人按约定的金额向发包人提交一份预付款担保，即有权得到发包人支付相等金额的预付款。我方愿意就你方提供给承包人的预付款提供担保。</w:t>
      </w:r>
    </w:p>
    <w:p>
      <w:pPr>
        <w:pStyle w:val="44"/>
        <w:numPr>
          <w:ilvl w:val="0"/>
          <w:numId w:val="90"/>
        </w:numPr>
        <w:tabs>
          <w:tab w:val="left" w:pos="1322"/>
          <w:tab w:val="left" w:pos="5205"/>
          <w:tab w:val="left" w:pos="6871"/>
        </w:tabs>
        <w:spacing w:line="267" w:lineRule="exact"/>
        <w:jc w:val="both"/>
        <w:rPr>
          <w:color w:val="auto"/>
          <w:sz w:val="21"/>
        </w:rPr>
      </w:pPr>
      <w:r>
        <w:rPr>
          <w:color w:val="auto"/>
          <w:spacing w:val="-10"/>
          <w:sz w:val="21"/>
        </w:rPr>
        <w:t>担保</w:t>
      </w:r>
      <w:r>
        <w:rPr>
          <w:color w:val="auto"/>
          <w:spacing w:val="-8"/>
          <w:sz w:val="21"/>
        </w:rPr>
        <w:t>金</w:t>
      </w:r>
      <w:r>
        <w:rPr>
          <w:color w:val="auto"/>
          <w:spacing w:val="-10"/>
          <w:sz w:val="21"/>
        </w:rPr>
        <w:t>额人民币（大写</w:t>
      </w:r>
      <w:r>
        <w:rPr>
          <w:color w:val="auto"/>
          <w:spacing w:val="-8"/>
          <w:sz w:val="21"/>
        </w:rPr>
        <w:t>）</w:t>
      </w:r>
      <w:r>
        <w:rPr>
          <w:color w:val="auto"/>
          <w:spacing w:val="-8"/>
          <w:sz w:val="21"/>
          <w:u w:val="single"/>
        </w:rPr>
        <w:t xml:space="preserve"> </w:t>
      </w:r>
      <w:r>
        <w:rPr>
          <w:color w:val="auto"/>
          <w:spacing w:val="-8"/>
          <w:sz w:val="21"/>
          <w:u w:val="single"/>
        </w:rPr>
        <w:tab/>
      </w:r>
      <w:r>
        <w:rPr>
          <w:color w:val="auto"/>
          <w:spacing w:val="-7"/>
          <w:sz w:val="21"/>
        </w:rPr>
        <w:t>（</w:t>
      </w:r>
      <w:r>
        <w:rPr>
          <w:rFonts w:ascii="Times New Roman" w:hAnsi="Times New Roman" w:eastAsia="Times New Roman"/>
          <w:color w:val="auto"/>
          <w:spacing w:val="-7"/>
          <w:sz w:val="21"/>
        </w:rPr>
        <w:t>¥</w:t>
      </w:r>
      <w:r>
        <w:rPr>
          <w:rFonts w:ascii="Times New Roman" w:hAnsi="Times New Roman" w:eastAsia="Times New Roman"/>
          <w:color w:val="auto"/>
          <w:spacing w:val="-7"/>
          <w:sz w:val="21"/>
          <w:u w:val="single"/>
        </w:rPr>
        <w:t xml:space="preserve"> </w:t>
      </w:r>
      <w:r>
        <w:rPr>
          <w:rFonts w:ascii="Times New Roman" w:hAnsi="Times New Roman" w:eastAsia="Times New Roman"/>
          <w:color w:val="auto"/>
          <w:spacing w:val="-7"/>
          <w:sz w:val="21"/>
          <w:u w:val="single"/>
        </w:rPr>
        <w:tab/>
      </w:r>
      <w:r>
        <w:rPr>
          <w:color w:val="auto"/>
          <w:spacing w:val="-8"/>
          <w:sz w:val="21"/>
        </w:rPr>
        <w:t>）。</w:t>
      </w:r>
    </w:p>
    <w:p>
      <w:pPr>
        <w:pStyle w:val="44"/>
        <w:numPr>
          <w:ilvl w:val="0"/>
          <w:numId w:val="90"/>
        </w:numPr>
        <w:tabs>
          <w:tab w:val="left" w:pos="1322"/>
        </w:tabs>
        <w:spacing w:before="170" w:line="393" w:lineRule="auto"/>
        <w:ind w:left="669" w:right="927" w:firstLine="403"/>
        <w:jc w:val="both"/>
        <w:rPr>
          <w:color w:val="auto"/>
          <w:sz w:val="21"/>
        </w:rPr>
      </w:pPr>
      <w:r>
        <w:rPr>
          <w:color w:val="auto"/>
          <w:spacing w:val="-13"/>
          <w:sz w:val="21"/>
        </w:rPr>
        <w:t>担保有效期自预付款支付给承包人起生效，至发包人签发的进度付款证书说明预付款已完全</w:t>
      </w:r>
      <w:r>
        <w:rPr>
          <w:color w:val="auto"/>
          <w:spacing w:val="-10"/>
          <w:sz w:val="21"/>
        </w:rPr>
        <w:t>扣清止。</w:t>
      </w:r>
    </w:p>
    <w:p>
      <w:pPr>
        <w:pStyle w:val="44"/>
        <w:numPr>
          <w:ilvl w:val="0"/>
          <w:numId w:val="90"/>
        </w:numPr>
        <w:tabs>
          <w:tab w:val="left" w:pos="1322"/>
        </w:tabs>
        <w:spacing w:line="393" w:lineRule="auto"/>
        <w:ind w:left="669" w:right="923" w:firstLine="403"/>
        <w:jc w:val="both"/>
        <w:rPr>
          <w:color w:val="auto"/>
          <w:sz w:val="21"/>
        </w:rPr>
      </w:pPr>
      <w:r>
        <w:rPr>
          <w:color w:val="auto"/>
          <w:spacing w:val="-14"/>
          <w:sz w:val="21"/>
        </w:rPr>
        <w:t>在本保函有效期内，因承包人违反合同约定的义务而要求收回预付款时，我方在收到你方的</w:t>
      </w:r>
      <w:r>
        <w:rPr>
          <w:color w:val="auto"/>
          <w:spacing w:val="-13"/>
          <w:sz w:val="21"/>
        </w:rPr>
        <w:t>书面通知后，在７天内支付。但本保函的担保金额，在任何时候不应超过预付款金额减去发包人按</w:t>
      </w:r>
      <w:r>
        <w:rPr>
          <w:color w:val="auto"/>
          <w:spacing w:val="-10"/>
          <w:sz w:val="21"/>
        </w:rPr>
        <w:t>合同约定在向承包人签发的进度付款证书中扣除的金额。</w:t>
      </w:r>
    </w:p>
    <w:p>
      <w:pPr>
        <w:pStyle w:val="44"/>
        <w:numPr>
          <w:ilvl w:val="0"/>
          <w:numId w:val="90"/>
        </w:numPr>
        <w:tabs>
          <w:tab w:val="left" w:pos="1322"/>
        </w:tabs>
        <w:spacing w:line="266" w:lineRule="exact"/>
        <w:jc w:val="both"/>
        <w:rPr>
          <w:color w:val="auto"/>
          <w:sz w:val="21"/>
        </w:rPr>
      </w:pPr>
      <w:r>
        <w:rPr>
          <w:color w:val="auto"/>
          <w:spacing w:val="-17"/>
          <w:sz w:val="21"/>
        </w:rPr>
        <w:t xml:space="preserve">发包人和承包人按《通用合同条款》第 </w:t>
      </w:r>
      <w:r>
        <w:rPr>
          <w:rFonts w:ascii="Times New Roman" w:eastAsia="Times New Roman"/>
          <w:color w:val="auto"/>
          <w:spacing w:val="-3"/>
          <w:sz w:val="21"/>
        </w:rPr>
        <w:t>15</w:t>
      </w:r>
      <w:r>
        <w:rPr>
          <w:rFonts w:ascii="Times New Roman" w:eastAsia="Times New Roman"/>
          <w:color w:val="auto"/>
          <w:spacing w:val="-8"/>
          <w:sz w:val="21"/>
        </w:rPr>
        <w:t xml:space="preserve"> </w:t>
      </w:r>
      <w:r>
        <w:rPr>
          <w:color w:val="auto"/>
          <w:spacing w:val="-13"/>
          <w:sz w:val="21"/>
        </w:rPr>
        <w:t>条变更合同时，我方承担本保函规定的义务不变。</w:t>
      </w:r>
    </w:p>
    <w:p>
      <w:pPr>
        <w:pStyle w:val="8"/>
        <w:rPr>
          <w:color w:val="auto"/>
          <w:sz w:val="22"/>
        </w:rPr>
      </w:pPr>
    </w:p>
    <w:p>
      <w:pPr>
        <w:pStyle w:val="8"/>
        <w:rPr>
          <w:color w:val="auto"/>
          <w:sz w:val="22"/>
        </w:rPr>
      </w:pPr>
    </w:p>
    <w:p>
      <w:pPr>
        <w:pStyle w:val="8"/>
        <w:tabs>
          <w:tab w:val="left" w:pos="6550"/>
        </w:tabs>
        <w:spacing w:before="174"/>
        <w:ind w:left="4128"/>
        <w:rPr>
          <w:color w:val="auto"/>
        </w:rPr>
      </w:pPr>
      <w:r>
        <w:rPr>
          <w:color w:val="auto"/>
          <w:spacing w:val="-10"/>
        </w:rPr>
        <w:t>担保人</w:t>
      </w:r>
      <w:r>
        <w:rPr>
          <w:color w:val="auto"/>
          <w:spacing w:val="-8"/>
        </w:rPr>
        <w:t>：</w:t>
      </w:r>
      <w:r>
        <w:rPr>
          <w:color w:val="auto"/>
          <w:spacing w:val="-8"/>
          <w:u w:val="single"/>
        </w:rPr>
        <w:t xml:space="preserve"> </w:t>
      </w:r>
      <w:r>
        <w:rPr>
          <w:color w:val="auto"/>
          <w:spacing w:val="-8"/>
          <w:u w:val="single"/>
        </w:rPr>
        <w:tab/>
      </w:r>
      <w:r>
        <w:rPr>
          <w:color w:val="auto"/>
          <w:spacing w:val="-10"/>
        </w:rPr>
        <w:t>（盖单位章）</w:t>
      </w:r>
    </w:p>
    <w:p>
      <w:pPr>
        <w:pStyle w:val="8"/>
        <w:spacing w:before="9"/>
        <w:rPr>
          <w:color w:val="auto"/>
          <w:sz w:val="19"/>
        </w:rPr>
      </w:pPr>
    </w:p>
    <w:p>
      <w:pPr>
        <w:pStyle w:val="8"/>
        <w:tabs>
          <w:tab w:val="left" w:pos="7558"/>
        </w:tabs>
        <w:spacing w:before="78"/>
        <w:ind w:left="4128"/>
        <w:rPr>
          <w:color w:val="auto"/>
        </w:rPr>
      </w:pPr>
      <w:r>
        <w:rPr>
          <w:color w:val="auto"/>
          <w:spacing w:val="-10"/>
        </w:rPr>
        <w:t>法定代表人</w:t>
      </w:r>
      <w:r>
        <w:rPr>
          <w:color w:val="auto"/>
          <w:spacing w:val="-8"/>
        </w:rPr>
        <w:t>或</w:t>
      </w:r>
      <w:r>
        <w:rPr>
          <w:color w:val="auto"/>
          <w:spacing w:val="-10"/>
        </w:rPr>
        <w:t>授权人</w:t>
      </w:r>
      <w:r>
        <w:rPr>
          <w:color w:val="auto"/>
          <w:spacing w:val="-8"/>
        </w:rPr>
        <w:t>：</w:t>
      </w:r>
      <w:r>
        <w:rPr>
          <w:color w:val="auto"/>
          <w:spacing w:val="-8"/>
          <w:u w:val="single"/>
        </w:rPr>
        <w:t xml:space="preserve"> </w:t>
      </w:r>
      <w:r>
        <w:rPr>
          <w:color w:val="auto"/>
          <w:spacing w:val="-8"/>
          <w:u w:val="single"/>
        </w:rPr>
        <w:tab/>
      </w:r>
      <w:r>
        <w:rPr>
          <w:color w:val="auto"/>
          <w:spacing w:val="-8"/>
        </w:rPr>
        <w:t>（</w:t>
      </w:r>
      <w:r>
        <w:rPr>
          <w:color w:val="auto"/>
          <w:spacing w:val="-10"/>
        </w:rPr>
        <w:t>签字</w:t>
      </w:r>
      <w:r>
        <w:rPr>
          <w:color w:val="auto"/>
        </w:rPr>
        <w:t>）</w:t>
      </w:r>
    </w:p>
    <w:p>
      <w:pPr>
        <w:pStyle w:val="8"/>
        <w:spacing w:before="10"/>
        <w:rPr>
          <w:color w:val="auto"/>
          <w:sz w:val="19"/>
        </w:rPr>
      </w:pPr>
    </w:p>
    <w:p>
      <w:pPr>
        <w:pStyle w:val="8"/>
        <w:tabs>
          <w:tab w:val="left" w:pos="4732"/>
          <w:tab w:val="left" w:pos="7404"/>
        </w:tabs>
        <w:spacing w:before="78"/>
        <w:ind w:left="4128"/>
        <w:rPr>
          <w:rFonts w:ascii="Times New Roman" w:eastAsia="Times New Roman"/>
          <w:color w:val="auto"/>
        </w:rPr>
      </w:pPr>
      <w:r>
        <w:rPr>
          <w:color w:val="auto"/>
        </w:rPr>
        <w:t>地</w:t>
      </w:r>
      <w:r>
        <w:rPr>
          <w:color w:val="auto"/>
        </w:rPr>
        <w:tab/>
      </w:r>
      <w:r>
        <w:rPr>
          <w:color w:val="auto"/>
          <w:spacing w:val="-10"/>
        </w:rPr>
        <w:t>址：</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2"/>
        </w:rPr>
      </w:pPr>
    </w:p>
    <w:p>
      <w:pPr>
        <w:pStyle w:val="8"/>
        <w:tabs>
          <w:tab w:val="left" w:pos="7857"/>
        </w:tabs>
        <w:spacing w:before="79"/>
        <w:ind w:left="4128"/>
        <w:rPr>
          <w:rFonts w:ascii="Times New Roman" w:eastAsia="Times New Roman"/>
          <w:color w:val="auto"/>
        </w:rPr>
      </w:pPr>
      <w:r>
        <w:rPr>
          <w:color w:val="auto"/>
          <w:spacing w:val="-10"/>
        </w:rPr>
        <w:t>邮政编码：</w:t>
      </w:r>
      <w:r>
        <w:rPr>
          <w:rFonts w:ascii="Times New Roman" w:eastAsia="Times New Roman"/>
          <w:color w:val="auto"/>
          <w:u w:val="single"/>
        </w:rPr>
        <w:t xml:space="preserve"> </w:t>
      </w:r>
      <w:r>
        <w:rPr>
          <w:rFonts w:ascii="Times New Roman" w:eastAsia="Times New Roman"/>
          <w:color w:val="auto"/>
          <w:u w:val="single"/>
        </w:rPr>
        <w:tab/>
      </w:r>
    </w:p>
    <w:p>
      <w:pPr>
        <w:pStyle w:val="8"/>
        <w:spacing w:before="11"/>
        <w:rPr>
          <w:rFonts w:ascii="Times New Roman"/>
          <w:color w:val="auto"/>
        </w:rPr>
      </w:pPr>
    </w:p>
    <w:p>
      <w:pPr>
        <w:pStyle w:val="8"/>
        <w:tabs>
          <w:tab w:val="left" w:pos="4732"/>
          <w:tab w:val="left" w:pos="8012"/>
        </w:tabs>
        <w:spacing w:before="78"/>
        <w:ind w:left="4128"/>
        <w:rPr>
          <w:rFonts w:ascii="Times New Roman" w:eastAsia="Times New Roman"/>
          <w:color w:val="auto"/>
        </w:rPr>
      </w:pPr>
      <w:r>
        <w:rPr>
          <w:color w:val="auto"/>
        </w:rPr>
        <w:t>电</w:t>
      </w:r>
      <w:r>
        <w:rPr>
          <w:color w:val="auto"/>
        </w:rPr>
        <w:tab/>
      </w:r>
      <w:r>
        <w:rPr>
          <w:color w:val="auto"/>
          <w:spacing w:val="-10"/>
        </w:rPr>
        <w:t>话</w:t>
      </w:r>
      <w:r>
        <w:rPr>
          <w:color w:val="auto"/>
          <w:spacing w:val="-8"/>
        </w:rPr>
        <w:t>：</w:t>
      </w:r>
      <w:r>
        <w:rPr>
          <w:rFonts w:ascii="Times New Roman" w:eastAsia="Times New Roman"/>
          <w:color w:val="auto"/>
          <w:u w:val="single"/>
        </w:rPr>
        <w:t xml:space="preserve"> </w:t>
      </w:r>
      <w:r>
        <w:rPr>
          <w:rFonts w:ascii="Times New Roman" w:eastAsia="Times New Roman"/>
          <w:color w:val="auto"/>
          <w:u w:val="single"/>
        </w:rPr>
        <w:tab/>
      </w:r>
    </w:p>
    <w:p>
      <w:pPr>
        <w:pStyle w:val="8"/>
        <w:spacing w:before="6"/>
        <w:rPr>
          <w:rFonts w:ascii="Times New Roman"/>
          <w:color w:val="auto"/>
          <w:sz w:val="22"/>
        </w:rPr>
      </w:pPr>
    </w:p>
    <w:p>
      <w:pPr>
        <w:pStyle w:val="8"/>
        <w:tabs>
          <w:tab w:val="left" w:pos="5633"/>
          <w:tab w:val="left" w:pos="6442"/>
          <w:tab w:val="left" w:pos="7248"/>
        </w:tabs>
        <w:spacing w:before="72"/>
        <w:ind w:left="482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rPr>
        <w:t>年</w:t>
      </w:r>
      <w:r>
        <w:rPr>
          <w:color w:val="auto"/>
          <w:spacing w:val="-8"/>
          <w:u w:val="single"/>
        </w:rPr>
        <w:t xml:space="preserve"> </w:t>
      </w:r>
      <w:r>
        <w:rPr>
          <w:color w:val="auto"/>
          <w:spacing w:val="-8"/>
          <w:u w:val="single"/>
        </w:rPr>
        <w:tab/>
      </w:r>
      <w:r>
        <w:rPr>
          <w:color w:val="auto"/>
          <w:spacing w:val="-8"/>
        </w:rPr>
        <w:t>月</w:t>
      </w:r>
      <w:r>
        <w:rPr>
          <w:color w:val="auto"/>
          <w:spacing w:val="-8"/>
          <w:u w:val="single"/>
        </w:rPr>
        <w:t xml:space="preserve"> </w:t>
      </w:r>
      <w:r>
        <w:rPr>
          <w:color w:val="auto"/>
          <w:spacing w:val="-8"/>
          <w:u w:val="single"/>
        </w:rPr>
        <w:tab/>
      </w:r>
      <w:r>
        <w:rPr>
          <w:color w:val="auto"/>
        </w:rPr>
        <w:t>日</w:t>
      </w:r>
    </w:p>
    <w:p>
      <w:pPr>
        <w:rPr>
          <w:color w:val="auto"/>
        </w:rPr>
        <w:sectPr>
          <w:pgSz w:w="11910" w:h="16840"/>
          <w:pgMar w:top="1580" w:right="700" w:bottom="1040" w:left="920" w:header="0" w:footer="854" w:gutter="0"/>
          <w:cols w:space="720" w:num="1"/>
        </w:sectPr>
      </w:pPr>
    </w:p>
    <w:p>
      <w:pPr>
        <w:pStyle w:val="8"/>
        <w:rPr>
          <w:color w:val="auto"/>
          <w:sz w:val="20"/>
        </w:rPr>
      </w:pPr>
    </w:p>
    <w:p>
      <w:pPr>
        <w:pStyle w:val="8"/>
        <w:spacing w:before="7"/>
        <w:rPr>
          <w:color w:val="auto"/>
        </w:rPr>
      </w:pPr>
    </w:p>
    <w:p>
      <w:pPr>
        <w:pStyle w:val="8"/>
        <w:spacing w:before="71"/>
        <w:ind w:left="669"/>
        <w:rPr>
          <w:color w:val="auto"/>
        </w:rPr>
      </w:pPr>
      <w:bookmarkStart w:id="316" w:name="其它合同附件（附件4-13）投标单位自行在相关网站上下载"/>
      <w:bookmarkEnd w:id="316"/>
      <w:r>
        <w:rPr>
          <w:color w:val="auto"/>
        </w:rPr>
        <w:t xml:space="preserve">其它合同附件（附件 </w:t>
      </w:r>
      <w:r>
        <w:rPr>
          <w:rFonts w:ascii="Calibri" w:eastAsia="Calibri"/>
          <w:color w:val="auto"/>
        </w:rPr>
        <w:t>4-13</w:t>
      </w:r>
      <w:r>
        <w:rPr>
          <w:color w:val="auto"/>
        </w:rPr>
        <w:t>）投标单位自行在相关网站上下载</w:t>
      </w:r>
    </w:p>
    <w:p>
      <w:pPr>
        <w:rPr>
          <w:color w:val="auto"/>
        </w:rPr>
        <w:sectPr>
          <w:pgSz w:w="11910" w:h="16840"/>
          <w:pgMar w:top="1580" w:right="700" w:bottom="1040" w:left="920" w:header="0" w:footer="854" w:gutter="0"/>
          <w:cols w:space="720" w:num="1"/>
        </w:sect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1"/>
        <w:rPr>
          <w:color w:val="auto"/>
          <w:sz w:val="29"/>
        </w:rPr>
      </w:pPr>
    </w:p>
    <w:p>
      <w:pPr>
        <w:tabs>
          <w:tab w:val="left" w:pos="1894"/>
        </w:tabs>
        <w:spacing w:before="33"/>
        <w:ind w:right="883"/>
        <w:jc w:val="center"/>
        <w:rPr>
          <w:b/>
          <w:color w:val="auto"/>
          <w:sz w:val="48"/>
        </w:rPr>
      </w:pPr>
      <w:bookmarkStart w:id="317" w:name="_bookmark4"/>
      <w:bookmarkEnd w:id="317"/>
      <w:bookmarkStart w:id="318" w:name="第五章__发包人要求"/>
      <w:bookmarkEnd w:id="318"/>
      <w:r>
        <w:rPr>
          <w:b/>
          <w:color w:val="auto"/>
          <w:spacing w:val="-5"/>
          <w:sz w:val="48"/>
        </w:rPr>
        <w:t>第</w:t>
      </w:r>
      <w:r>
        <w:rPr>
          <w:b/>
          <w:color w:val="auto"/>
          <w:spacing w:val="-8"/>
          <w:sz w:val="48"/>
        </w:rPr>
        <w:t>五</w:t>
      </w:r>
      <w:r>
        <w:rPr>
          <w:b/>
          <w:color w:val="auto"/>
          <w:sz w:val="48"/>
        </w:rPr>
        <w:t>章</w:t>
      </w:r>
      <w:r>
        <w:rPr>
          <w:b/>
          <w:color w:val="auto"/>
          <w:sz w:val="48"/>
        </w:rPr>
        <w:tab/>
      </w:r>
      <w:r>
        <w:rPr>
          <w:b/>
          <w:color w:val="auto"/>
          <w:spacing w:val="-5"/>
          <w:sz w:val="48"/>
        </w:rPr>
        <w:t>发包</w:t>
      </w:r>
      <w:r>
        <w:rPr>
          <w:b/>
          <w:color w:val="auto"/>
          <w:spacing w:val="-8"/>
          <w:sz w:val="48"/>
        </w:rPr>
        <w:t>人要</w:t>
      </w:r>
      <w:r>
        <w:rPr>
          <w:b/>
          <w:color w:val="auto"/>
          <w:sz w:val="48"/>
        </w:rPr>
        <w:t>求</w:t>
      </w:r>
    </w:p>
    <w:p>
      <w:pPr>
        <w:jc w:val="center"/>
        <w:rPr>
          <w:color w:val="auto"/>
          <w:sz w:val="48"/>
        </w:rPr>
        <w:sectPr>
          <w:pgSz w:w="11910" w:h="16840"/>
          <w:pgMar w:top="1580" w:right="700" w:bottom="1040" w:left="920" w:header="0" w:footer="854" w:gutter="0"/>
          <w:cols w:space="720" w:num="1"/>
        </w:sectPr>
      </w:pPr>
    </w:p>
    <w:p>
      <w:pPr>
        <w:pStyle w:val="8"/>
        <w:spacing w:before="8"/>
        <w:rPr>
          <w:b/>
          <w:color w:val="auto"/>
          <w:sz w:val="29"/>
        </w:rPr>
      </w:pPr>
    </w:p>
    <w:p>
      <w:pPr>
        <w:pStyle w:val="37"/>
        <w:spacing w:before="54"/>
        <w:ind w:left="619" w:right="883"/>
        <w:jc w:val="center"/>
        <w:rPr>
          <w:color w:val="auto"/>
        </w:rPr>
      </w:pPr>
      <w:bookmarkStart w:id="319" w:name="设计施工总承包要求"/>
      <w:bookmarkEnd w:id="319"/>
      <w:r>
        <w:rPr>
          <w:color w:val="auto"/>
        </w:rPr>
        <w:t>设计施工总承包要求</w:t>
      </w:r>
    </w:p>
    <w:p>
      <w:pPr>
        <w:pStyle w:val="8"/>
        <w:spacing w:before="6"/>
        <w:rPr>
          <w:b/>
          <w:color w:val="auto"/>
          <w:sz w:val="20"/>
        </w:rPr>
      </w:pPr>
    </w:p>
    <w:p>
      <w:pPr>
        <w:pStyle w:val="39"/>
        <w:spacing w:before="58"/>
        <w:ind w:left="669"/>
        <w:rPr>
          <w:color w:val="auto"/>
        </w:rPr>
      </w:pPr>
      <w:r>
        <w:rPr>
          <w:color w:val="auto"/>
        </w:rPr>
        <w:t>一、项目概况</w:t>
      </w:r>
    </w:p>
    <w:p>
      <w:pPr>
        <w:pStyle w:val="42"/>
        <w:spacing w:before="230"/>
        <w:ind w:left="1132" w:firstLine="0"/>
        <w:rPr>
          <w:rFonts w:ascii="宋体" w:eastAsia="宋体"/>
          <w:color w:val="auto"/>
          <w:sz w:val="21"/>
        </w:rPr>
      </w:pPr>
      <w:r>
        <w:rPr>
          <w:rFonts w:hint="eastAsia" w:ascii="宋体" w:eastAsia="宋体"/>
          <w:color w:val="auto"/>
        </w:rPr>
        <w:t>具体详见招标公告。</w:t>
      </w:r>
      <w:r>
        <w:rPr>
          <w:rFonts w:hint="eastAsia" w:ascii="宋体" w:eastAsia="宋体"/>
          <w:color w:val="auto"/>
          <w:sz w:val="21"/>
        </w:rPr>
        <w:t xml:space="preserve"> </w:t>
      </w:r>
    </w:p>
    <w:p>
      <w:pPr>
        <w:spacing w:before="213"/>
        <w:ind w:left="669"/>
        <w:rPr>
          <w:b/>
          <w:color w:val="auto"/>
          <w:sz w:val="32"/>
        </w:rPr>
      </w:pPr>
      <w:r>
        <w:rPr>
          <w:b/>
          <w:color w:val="auto"/>
          <w:sz w:val="32"/>
        </w:rPr>
        <w:t>二、技术要求</w:t>
      </w:r>
      <w:r>
        <w:rPr>
          <w:b/>
          <w:color w:val="auto"/>
          <w:w w:val="98"/>
          <w:sz w:val="32"/>
        </w:rPr>
        <w:t xml:space="preserve"> </w:t>
      </w:r>
    </w:p>
    <w:p>
      <w:pPr>
        <w:spacing w:before="217"/>
        <w:ind w:left="1132"/>
        <w:rPr>
          <w:color w:val="auto"/>
          <w:sz w:val="24"/>
        </w:rPr>
      </w:pPr>
      <w:r>
        <w:rPr>
          <w:color w:val="auto"/>
          <w:sz w:val="24"/>
        </w:rPr>
        <w:t>以下为参考条款，但不限于：</w:t>
      </w:r>
    </w:p>
    <w:p>
      <w:pPr>
        <w:pStyle w:val="8"/>
        <w:spacing w:before="4"/>
        <w:rPr>
          <w:color w:val="auto"/>
          <w:sz w:val="22"/>
        </w:rPr>
      </w:pPr>
    </w:p>
    <w:p>
      <w:pPr>
        <w:pStyle w:val="43"/>
        <w:spacing w:before="1"/>
        <w:ind w:left="669"/>
        <w:rPr>
          <w:color w:val="auto"/>
        </w:rPr>
      </w:pPr>
      <w:r>
        <w:rPr>
          <w:color w:val="auto"/>
        </w:rPr>
        <w:t>一、工程技术规范</w:t>
      </w:r>
      <w:r>
        <w:rPr>
          <w:color w:val="auto"/>
          <w:w w:val="99"/>
        </w:rPr>
        <w:t xml:space="preserve"> </w:t>
      </w:r>
    </w:p>
    <w:p>
      <w:pPr>
        <w:pStyle w:val="8"/>
        <w:spacing w:before="10"/>
        <w:rPr>
          <w:b/>
          <w:color w:val="auto"/>
          <w:sz w:val="23"/>
        </w:rPr>
      </w:pPr>
    </w:p>
    <w:p>
      <w:pPr>
        <w:pStyle w:val="8"/>
        <w:spacing w:line="513" w:lineRule="auto"/>
        <w:ind w:left="1072" w:right="2647"/>
        <w:rPr>
          <w:color w:val="auto"/>
        </w:rPr>
      </w:pPr>
      <w:r>
        <w:rPr>
          <w:color w:val="auto"/>
          <w:spacing w:val="-11"/>
        </w:rPr>
        <w:t>本工程在施工及竣工验收中应严格遵守国家、部颁的现行相关规程规范。本工程应严格按照现行施工验收规范进行施工。</w:t>
      </w:r>
      <w:r>
        <w:rPr>
          <w:color w:val="auto"/>
        </w:rPr>
        <w:t xml:space="preserve"> </w:t>
      </w:r>
    </w:p>
    <w:p>
      <w:pPr>
        <w:pStyle w:val="8"/>
        <w:spacing w:line="267" w:lineRule="exact"/>
        <w:ind w:left="1072"/>
        <w:rPr>
          <w:color w:val="auto"/>
        </w:rPr>
      </w:pPr>
      <w:r>
        <w:rPr>
          <w:color w:val="auto"/>
        </w:rPr>
        <w:t xml:space="preserve">注：若国家颁布最新相关技术规范须以最新规范为准。 </w:t>
      </w:r>
    </w:p>
    <w:p>
      <w:pPr>
        <w:pStyle w:val="8"/>
        <w:spacing w:before="10"/>
        <w:rPr>
          <w:color w:val="auto"/>
          <w:sz w:val="23"/>
        </w:rPr>
      </w:pPr>
    </w:p>
    <w:p>
      <w:pPr>
        <w:pStyle w:val="8"/>
        <w:spacing w:line="511" w:lineRule="auto"/>
        <w:ind w:left="669" w:right="939" w:firstLine="403"/>
        <w:rPr>
          <w:color w:val="auto"/>
        </w:rPr>
      </w:pPr>
      <w:r>
        <w:rPr>
          <w:color w:val="auto"/>
          <w:spacing w:val="-10"/>
        </w:rPr>
        <w:t>除上述技术规范外，若有遗缺，按国家或行业现行的有关规定执行，国家和行业不全的按本地</w:t>
      </w:r>
      <w:r>
        <w:rPr>
          <w:color w:val="auto"/>
          <w:spacing w:val="-11"/>
        </w:rPr>
        <w:t>有关部门规定和标准执行。</w:t>
      </w:r>
      <w:r>
        <w:rPr>
          <w:color w:val="auto"/>
        </w:rPr>
        <w:t xml:space="preserve"> </w:t>
      </w:r>
    </w:p>
    <w:p>
      <w:pPr>
        <w:pStyle w:val="43"/>
        <w:spacing w:before="1"/>
        <w:ind w:left="669"/>
        <w:rPr>
          <w:b w:val="0"/>
          <w:color w:val="auto"/>
        </w:rPr>
      </w:pPr>
      <w:r>
        <w:rPr>
          <w:color w:val="auto"/>
        </w:rPr>
        <w:t>二、工程技术要求</w:t>
      </w:r>
      <w:r>
        <w:rPr>
          <w:b w:val="0"/>
          <w:color w:val="auto"/>
        </w:rPr>
        <w:t xml:space="preserve"> </w:t>
      </w:r>
    </w:p>
    <w:p>
      <w:pPr>
        <w:pStyle w:val="8"/>
        <w:spacing w:before="10"/>
        <w:rPr>
          <w:color w:val="auto"/>
          <w:sz w:val="23"/>
        </w:rPr>
      </w:pPr>
    </w:p>
    <w:p>
      <w:pPr>
        <w:ind w:left="1149"/>
        <w:rPr>
          <w:color w:val="auto"/>
          <w:sz w:val="21"/>
        </w:rPr>
      </w:pPr>
      <w:r>
        <w:rPr>
          <w:b/>
          <w:color w:val="auto"/>
          <w:sz w:val="21"/>
        </w:rPr>
        <w:t>（一）技术要求：</w:t>
      </w:r>
      <w:r>
        <w:rPr>
          <w:color w:val="auto"/>
          <w:sz w:val="21"/>
        </w:rPr>
        <w:t xml:space="preserve">按国家、地方、行业现行规范、规程进行施工及验收。 </w:t>
      </w:r>
    </w:p>
    <w:p>
      <w:pPr>
        <w:pStyle w:val="8"/>
        <w:spacing w:before="12"/>
        <w:rPr>
          <w:color w:val="auto"/>
          <w:sz w:val="23"/>
        </w:rPr>
      </w:pPr>
    </w:p>
    <w:p>
      <w:pPr>
        <w:pStyle w:val="43"/>
        <w:ind w:left="1149"/>
        <w:rPr>
          <w:b w:val="0"/>
          <w:color w:val="auto"/>
        </w:rPr>
      </w:pPr>
      <w:r>
        <w:rPr>
          <w:color w:val="auto"/>
        </w:rPr>
        <w:t>（二）质量要求：</w:t>
      </w:r>
      <w:r>
        <w:rPr>
          <w:b w:val="0"/>
          <w:color w:val="auto"/>
        </w:rPr>
        <w:t xml:space="preserve"> </w:t>
      </w:r>
    </w:p>
    <w:p>
      <w:pPr>
        <w:pStyle w:val="8"/>
        <w:spacing w:before="10"/>
        <w:rPr>
          <w:color w:val="auto"/>
          <w:sz w:val="23"/>
        </w:rPr>
      </w:pPr>
    </w:p>
    <w:p>
      <w:pPr>
        <w:pStyle w:val="8"/>
        <w:spacing w:line="511" w:lineRule="auto"/>
        <w:ind w:left="669" w:right="923" w:firstLine="479"/>
        <w:jc w:val="both"/>
        <w:rPr>
          <w:color w:val="auto"/>
        </w:rPr>
      </w:pPr>
      <w:r>
        <w:rPr>
          <w:color w:val="auto"/>
          <w:spacing w:val="-5"/>
        </w:rPr>
        <w:t>1</w:t>
      </w:r>
      <w:r>
        <w:rPr>
          <w:color w:val="auto"/>
          <w:spacing w:val="-10"/>
        </w:rPr>
        <w:t>、承包人必须严格按施工图纸及技术说明进行施工，未经发包人、设计单位同意不得修改； 如确因图纸设计有误或施工原因需修改时，需经过发包人和设计单位、监理单位同意，由设计单位发变更通知单方可施工。</w:t>
      </w:r>
      <w:r>
        <w:rPr>
          <w:color w:val="auto"/>
        </w:rPr>
        <w:t xml:space="preserve"> </w:t>
      </w:r>
    </w:p>
    <w:p>
      <w:pPr>
        <w:pStyle w:val="8"/>
        <w:spacing w:before="2"/>
        <w:ind w:left="1149"/>
        <w:rPr>
          <w:color w:val="auto"/>
        </w:rPr>
      </w:pPr>
      <w:r>
        <w:rPr>
          <w:color w:val="auto"/>
        </w:rPr>
        <w:t xml:space="preserve">2、隐蔽工程必须经发包人、监理单位和设计单位共同验收合格后方可进行下一步工序的施工。 </w:t>
      </w:r>
    </w:p>
    <w:p>
      <w:pPr>
        <w:pStyle w:val="8"/>
        <w:spacing w:before="10"/>
        <w:rPr>
          <w:color w:val="auto"/>
          <w:sz w:val="23"/>
        </w:rPr>
      </w:pPr>
    </w:p>
    <w:p>
      <w:pPr>
        <w:ind w:left="966"/>
        <w:rPr>
          <w:color w:val="auto"/>
          <w:sz w:val="21"/>
        </w:rPr>
      </w:pPr>
      <w:r>
        <w:rPr>
          <w:b/>
          <w:color w:val="auto"/>
          <w:sz w:val="21"/>
        </w:rPr>
        <w:t>（三）质量标准</w:t>
      </w:r>
      <w:r>
        <w:rPr>
          <w:color w:val="auto"/>
          <w:sz w:val="21"/>
        </w:rPr>
        <w:t xml:space="preserve">： </w:t>
      </w:r>
    </w:p>
    <w:p>
      <w:pPr>
        <w:pStyle w:val="8"/>
        <w:spacing w:before="12"/>
        <w:rPr>
          <w:color w:val="auto"/>
          <w:sz w:val="23"/>
        </w:rPr>
      </w:pPr>
    </w:p>
    <w:p>
      <w:pPr>
        <w:pStyle w:val="8"/>
        <w:spacing w:line="513" w:lineRule="auto"/>
        <w:ind w:left="669" w:right="923" w:firstLine="479"/>
        <w:jc w:val="both"/>
        <w:rPr>
          <w:color w:val="auto"/>
          <w:spacing w:val="-12"/>
        </w:rPr>
      </w:pPr>
      <w:r>
        <w:rPr>
          <w:color w:val="auto"/>
          <w:spacing w:val="-12"/>
        </w:rPr>
        <w:t xml:space="preserve">1、工程质量及工程验收标准，按建设部现行的有关施工规范和工程质量检验评定标准进行施工，确保所供材料设备质量和性能能满足设计要求，达到合格工程标准。承包人如有违反操作规程及粗制滥造现象，发包人有权加以制止，直至下令停止施工，其经济损失全部由承包人负责，工期不得顺延。 </w:t>
      </w:r>
    </w:p>
    <w:p>
      <w:pPr>
        <w:pStyle w:val="8"/>
        <w:spacing w:line="513" w:lineRule="auto"/>
        <w:ind w:left="669" w:right="923" w:firstLine="479"/>
        <w:jc w:val="both"/>
        <w:rPr>
          <w:color w:val="auto"/>
          <w:spacing w:val="-12"/>
        </w:rPr>
        <w:sectPr>
          <w:pgSz w:w="11910" w:h="16840"/>
          <w:pgMar w:top="1580" w:right="700" w:bottom="1040" w:left="920" w:header="0" w:footer="854" w:gutter="0"/>
          <w:cols w:space="720" w:num="1"/>
        </w:sectPr>
      </w:pPr>
    </w:p>
    <w:p>
      <w:pPr>
        <w:pStyle w:val="8"/>
        <w:spacing w:line="513" w:lineRule="auto"/>
        <w:ind w:left="669" w:right="923" w:firstLine="479"/>
        <w:jc w:val="both"/>
        <w:rPr>
          <w:color w:val="auto"/>
          <w:spacing w:val="-12"/>
        </w:rPr>
      </w:pPr>
      <w:r>
        <w:rPr>
          <w:color w:val="auto"/>
          <w:spacing w:val="-12"/>
        </w:rPr>
        <w:t xml:space="preserve">2、质量保修：按原建设部[2000]年 80 号令相关规定执行，承包人在设备材料质保期内提供免费维修保养。若承包人为外地企业，在工程保修期内，经与招标人协商后，承包人必须派维修人员长驻现场，保证无偿修理完好，否则，由发包人安排维修，维修费在保修预留金中扣除。 </w:t>
      </w:r>
    </w:p>
    <w:p>
      <w:pPr>
        <w:pStyle w:val="43"/>
        <w:spacing w:before="1"/>
        <w:ind w:left="669"/>
        <w:rPr>
          <w:b w:val="0"/>
          <w:color w:val="auto"/>
        </w:rPr>
      </w:pPr>
      <w:r>
        <w:rPr>
          <w:color w:val="auto"/>
        </w:rPr>
        <w:t>（四）技术资料：</w:t>
      </w:r>
      <w:r>
        <w:rPr>
          <w:b w:val="0"/>
          <w:color w:val="auto"/>
        </w:rPr>
        <w:t xml:space="preserve"> </w:t>
      </w:r>
    </w:p>
    <w:p>
      <w:pPr>
        <w:pStyle w:val="8"/>
        <w:spacing w:before="10"/>
        <w:rPr>
          <w:color w:val="auto"/>
          <w:sz w:val="23"/>
        </w:rPr>
      </w:pPr>
    </w:p>
    <w:p>
      <w:pPr>
        <w:pStyle w:val="8"/>
        <w:spacing w:line="513" w:lineRule="auto"/>
        <w:ind w:left="669" w:right="923" w:firstLine="479"/>
        <w:jc w:val="both"/>
        <w:rPr>
          <w:color w:val="auto"/>
        </w:rPr>
      </w:pPr>
      <w:r>
        <w:rPr>
          <w:color w:val="auto"/>
          <w:spacing w:val="-12"/>
        </w:rPr>
        <w:t xml:space="preserve">承包人在工程竣工交付使用后 </w:t>
      </w:r>
      <w:r>
        <w:rPr>
          <w:color w:val="auto"/>
          <w:spacing w:val="-3"/>
        </w:rPr>
        <w:t>30</w:t>
      </w:r>
      <w:r>
        <w:rPr>
          <w:color w:val="auto"/>
          <w:spacing w:val="-15"/>
        </w:rPr>
        <w:t xml:space="preserve"> 天内按国家有关规定向发包人提交四套竣工资料和完整的结</w:t>
      </w:r>
      <w:r>
        <w:rPr>
          <w:color w:val="auto"/>
          <w:spacing w:val="-14"/>
        </w:rPr>
        <w:t>算资料，费用均包括在投标报价之内。向业主方提供维护人员培训服务，完工后提供一年的免费维</w:t>
      </w:r>
      <w:r>
        <w:rPr>
          <w:color w:val="auto"/>
          <w:spacing w:val="-10"/>
        </w:rPr>
        <w:t>修保养。</w:t>
      </w:r>
      <w:r>
        <w:rPr>
          <w:color w:val="auto"/>
        </w:rPr>
        <w:t xml:space="preserve"> </w:t>
      </w:r>
    </w:p>
    <w:p>
      <w:pPr>
        <w:pStyle w:val="8"/>
        <w:spacing w:line="265" w:lineRule="exact"/>
        <w:ind w:left="1149"/>
        <w:rPr>
          <w:color w:val="auto"/>
        </w:rPr>
      </w:pPr>
      <w:r>
        <w:rPr>
          <w:color w:val="auto"/>
        </w:rPr>
        <w:t xml:space="preserve">竣工资料包括（不限于）：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开工报告；</w:t>
      </w:r>
      <w:r>
        <w:rPr>
          <w:color w:val="auto"/>
          <w:sz w:val="21"/>
        </w:rPr>
        <w:t xml:space="preserve">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隐蔽工程</w:t>
      </w:r>
      <w:r>
        <w:rPr>
          <w:color w:val="auto"/>
          <w:sz w:val="21"/>
        </w:rPr>
        <w:t xml:space="preserve">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材料出厂合格证；</w:t>
      </w:r>
      <w:r>
        <w:rPr>
          <w:color w:val="auto"/>
          <w:sz w:val="21"/>
        </w:rPr>
        <w:t xml:space="preserve"> </w:t>
      </w:r>
    </w:p>
    <w:p>
      <w:pPr>
        <w:pStyle w:val="8"/>
        <w:spacing w:before="12"/>
        <w:rPr>
          <w:color w:val="auto"/>
          <w:sz w:val="23"/>
        </w:rPr>
      </w:pPr>
    </w:p>
    <w:p>
      <w:pPr>
        <w:pStyle w:val="44"/>
        <w:numPr>
          <w:ilvl w:val="0"/>
          <w:numId w:val="91"/>
        </w:numPr>
        <w:tabs>
          <w:tab w:val="left" w:pos="1664"/>
        </w:tabs>
        <w:rPr>
          <w:color w:val="auto"/>
          <w:sz w:val="21"/>
        </w:rPr>
      </w:pPr>
      <w:r>
        <w:rPr>
          <w:color w:val="auto"/>
          <w:spacing w:val="-10"/>
          <w:sz w:val="21"/>
        </w:rPr>
        <w:t>主要材料实验报告；</w:t>
      </w:r>
      <w:r>
        <w:rPr>
          <w:color w:val="auto"/>
          <w:sz w:val="21"/>
        </w:rPr>
        <w:t xml:space="preserve">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竣工报告；</w:t>
      </w:r>
      <w:r>
        <w:rPr>
          <w:color w:val="auto"/>
          <w:sz w:val="21"/>
        </w:rPr>
        <w:t xml:space="preserve">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竣工验收单；</w:t>
      </w:r>
      <w:r>
        <w:rPr>
          <w:color w:val="auto"/>
          <w:sz w:val="21"/>
        </w:rPr>
        <w:t xml:space="preserve"> </w:t>
      </w:r>
    </w:p>
    <w:p>
      <w:pPr>
        <w:pStyle w:val="8"/>
        <w:spacing w:before="10"/>
        <w:rPr>
          <w:color w:val="auto"/>
          <w:sz w:val="23"/>
        </w:rPr>
      </w:pPr>
    </w:p>
    <w:p>
      <w:pPr>
        <w:pStyle w:val="44"/>
        <w:numPr>
          <w:ilvl w:val="0"/>
          <w:numId w:val="91"/>
        </w:numPr>
        <w:tabs>
          <w:tab w:val="left" w:pos="1664"/>
        </w:tabs>
        <w:rPr>
          <w:color w:val="auto"/>
          <w:sz w:val="21"/>
        </w:rPr>
      </w:pPr>
      <w:r>
        <w:rPr>
          <w:color w:val="auto"/>
          <w:spacing w:val="-10"/>
          <w:sz w:val="21"/>
        </w:rPr>
        <w:t>竣工图；</w:t>
      </w:r>
      <w:r>
        <w:rPr>
          <w:color w:val="auto"/>
          <w:sz w:val="21"/>
        </w:rPr>
        <w:t xml:space="preserve"> </w:t>
      </w:r>
    </w:p>
    <w:p>
      <w:pPr>
        <w:pStyle w:val="8"/>
        <w:spacing w:before="10"/>
        <w:rPr>
          <w:color w:val="auto"/>
          <w:sz w:val="23"/>
        </w:rPr>
      </w:pPr>
    </w:p>
    <w:p>
      <w:pPr>
        <w:pStyle w:val="8"/>
        <w:ind w:left="669"/>
        <w:rPr>
          <w:color w:val="auto"/>
        </w:rPr>
      </w:pPr>
      <w:r>
        <w:rPr>
          <w:color w:val="auto"/>
        </w:rPr>
        <w:t xml:space="preserve">其他湖南省及岳阳市规定及业主要求提供的资料。 </w:t>
      </w:r>
    </w:p>
    <w:p>
      <w:pPr>
        <w:rPr>
          <w:color w:val="auto"/>
        </w:rPr>
        <w:sectPr>
          <w:pgSz w:w="11910" w:h="16840"/>
          <w:pgMar w:top="1580" w:right="700" w:bottom="1040" w:left="920" w:header="0" w:footer="854" w:gutter="0"/>
          <w:cols w:space="720" w:num="1"/>
        </w:sect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
        <w:rPr>
          <w:color w:val="auto"/>
          <w:sz w:val="17"/>
        </w:rPr>
      </w:pPr>
    </w:p>
    <w:p>
      <w:pPr>
        <w:pStyle w:val="36"/>
        <w:ind w:left="621"/>
        <w:rPr>
          <w:color w:val="auto"/>
        </w:rPr>
      </w:pPr>
      <w:bookmarkStart w:id="320" w:name="第六章、发包人提供的资料"/>
      <w:bookmarkEnd w:id="320"/>
      <w:bookmarkStart w:id="321" w:name="_bookmark5"/>
      <w:bookmarkEnd w:id="321"/>
      <w:r>
        <w:rPr>
          <w:color w:val="auto"/>
        </w:rPr>
        <w:t>第六章、发包人提供的资料</w:t>
      </w:r>
    </w:p>
    <w:p>
      <w:pPr>
        <w:pStyle w:val="8"/>
        <w:rPr>
          <w:b/>
          <w:color w:val="auto"/>
          <w:sz w:val="48"/>
        </w:rPr>
      </w:pPr>
    </w:p>
    <w:p>
      <w:pPr>
        <w:pStyle w:val="42"/>
        <w:spacing w:before="419"/>
        <w:ind w:left="422" w:right="223" w:firstLine="0"/>
        <w:jc w:val="center"/>
        <w:rPr>
          <w:color w:val="auto"/>
        </w:rPr>
      </w:pPr>
      <w:r>
        <w:rPr>
          <w:color w:val="auto"/>
        </w:rPr>
        <w:t>另册提供，投标人自行在相关网站上下载</w:t>
      </w:r>
    </w:p>
    <w:p>
      <w:pPr>
        <w:jc w:val="center"/>
        <w:rPr>
          <w:color w:val="auto"/>
        </w:rPr>
        <w:sectPr>
          <w:footerReference r:id="rId34" w:type="default"/>
          <w:pgSz w:w="11910" w:h="16840"/>
          <w:pgMar w:top="1580" w:right="700" w:bottom="1040" w:left="920" w:header="0" w:footer="854" w:gutter="0"/>
          <w:cols w:space="720" w:num="1"/>
        </w:sect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rPr>
          <w:rFonts w:ascii="黑体"/>
          <w:color w:val="auto"/>
          <w:sz w:val="20"/>
        </w:rPr>
      </w:pPr>
    </w:p>
    <w:p>
      <w:pPr>
        <w:pStyle w:val="8"/>
        <w:spacing w:before="2"/>
        <w:rPr>
          <w:rFonts w:ascii="黑体"/>
          <w:color w:val="auto"/>
          <w:sz w:val="14"/>
        </w:rPr>
      </w:pPr>
    </w:p>
    <w:p>
      <w:pPr>
        <w:spacing w:before="32"/>
        <w:ind w:left="618" w:right="883"/>
        <w:jc w:val="center"/>
        <w:rPr>
          <w:b/>
          <w:color w:val="auto"/>
          <w:sz w:val="48"/>
        </w:rPr>
      </w:pPr>
      <w:bookmarkStart w:id="322" w:name="_bookmark6"/>
      <w:bookmarkEnd w:id="322"/>
      <w:bookmarkStart w:id="323" w:name="第七章、投标文件格式"/>
      <w:bookmarkEnd w:id="323"/>
      <w:r>
        <w:rPr>
          <w:b/>
          <w:color w:val="auto"/>
          <w:sz w:val="48"/>
        </w:rPr>
        <w:t>第七章、投标文件格式</w:t>
      </w:r>
    </w:p>
    <w:p>
      <w:pPr>
        <w:jc w:val="center"/>
        <w:rPr>
          <w:color w:val="auto"/>
          <w:sz w:val="48"/>
        </w:rPr>
        <w:sectPr>
          <w:pgSz w:w="11910" w:h="16840"/>
          <w:pgMar w:top="1580" w:right="700" w:bottom="1040" w:left="920" w:header="0" w:footer="854" w:gutter="0"/>
          <w:cols w:space="720" w:num="1"/>
        </w:sect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spacing w:before="3"/>
        <w:rPr>
          <w:b/>
          <w:color w:val="auto"/>
          <w:sz w:val="27"/>
        </w:rPr>
      </w:pPr>
    </w:p>
    <w:p>
      <w:pPr>
        <w:spacing w:before="54"/>
        <w:ind w:right="108"/>
        <w:jc w:val="center"/>
        <w:rPr>
          <w:color w:val="auto"/>
          <w:sz w:val="32"/>
        </w:rPr>
      </w:pPr>
      <w:r>
        <w:rPr>
          <w:color w:val="auto"/>
          <w:w w:val="99"/>
          <w:sz w:val="32"/>
          <w:u w:val="single"/>
        </w:rPr>
        <w:t xml:space="preserve">                                            </w:t>
      </w:r>
      <w:r>
        <w:rPr>
          <w:color w:val="auto"/>
          <w:sz w:val="32"/>
        </w:rPr>
        <w:t xml:space="preserve">项目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spacing w:before="113"/>
        <w:ind w:left="370" w:right="223"/>
        <w:jc w:val="center"/>
        <w:rPr>
          <w:color w:val="auto"/>
          <w:sz w:val="84"/>
        </w:rPr>
      </w:pPr>
      <w:r>
        <w:rPr>
          <w:color w:val="auto"/>
          <w:sz w:val="84"/>
        </w:rPr>
        <w:t xml:space="preserve">投 标 文 件 </w:t>
      </w:r>
    </w:p>
    <w:p>
      <w:pPr>
        <w:spacing w:before="543"/>
        <w:ind w:left="115" w:right="223"/>
        <w:jc w:val="center"/>
        <w:rPr>
          <w:color w:val="auto"/>
          <w:sz w:val="32"/>
        </w:rPr>
      </w:pPr>
      <w:r>
        <w:rPr>
          <w:color w:val="auto"/>
          <w:sz w:val="32"/>
        </w:rPr>
        <w:t xml:space="preserve">（投标函部分）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2"/>
        <w:rPr>
          <w:color w:val="auto"/>
          <w:sz w:val="17"/>
        </w:rPr>
      </w:pPr>
    </w:p>
    <w:p>
      <w:pPr>
        <w:spacing w:before="54"/>
        <w:ind w:left="875"/>
        <w:rPr>
          <w:color w:val="auto"/>
          <w:sz w:val="32"/>
        </w:rPr>
      </w:pPr>
      <w:r>
        <w:rPr>
          <w:color w:val="auto"/>
          <w:sz w:val="32"/>
        </w:rPr>
        <w:t>投 标 人：</w:t>
      </w:r>
      <w:r>
        <w:rPr>
          <w:color w:val="auto"/>
          <w:sz w:val="32"/>
          <w:u w:val="single"/>
        </w:rPr>
        <w:t xml:space="preserve"> （全称） </w:t>
      </w:r>
      <w:r>
        <w:rPr>
          <w:color w:val="auto"/>
          <w:sz w:val="32"/>
        </w:rPr>
        <w:t xml:space="preserve">（盖单位公章） </w:t>
      </w:r>
    </w:p>
    <w:p>
      <w:pPr>
        <w:pStyle w:val="8"/>
        <w:rPr>
          <w:color w:val="auto"/>
          <w:sz w:val="20"/>
        </w:rPr>
      </w:pPr>
    </w:p>
    <w:p>
      <w:pPr>
        <w:pStyle w:val="8"/>
        <w:rPr>
          <w:color w:val="auto"/>
          <w:sz w:val="20"/>
        </w:rPr>
      </w:pPr>
    </w:p>
    <w:p>
      <w:pPr>
        <w:spacing w:before="227"/>
        <w:ind w:left="719"/>
        <w:rPr>
          <w:color w:val="auto"/>
          <w:sz w:val="32"/>
        </w:rPr>
      </w:pPr>
      <w:r>
        <w:rPr>
          <w:color w:val="auto"/>
          <w:sz w:val="32"/>
        </w:rPr>
        <w:t>法定代表人或其委托代理人：</w:t>
      </w:r>
      <w:r>
        <w:rPr>
          <w:color w:val="auto"/>
          <w:sz w:val="32"/>
          <w:u w:val="single"/>
        </w:rPr>
        <w:t xml:space="preserve"> </w:t>
      </w:r>
      <w:r>
        <w:rPr>
          <w:color w:val="auto"/>
          <w:sz w:val="32"/>
        </w:rPr>
        <w:t xml:space="preserve">（签字或盖章） </w:t>
      </w:r>
    </w:p>
    <w:p>
      <w:pPr>
        <w:pStyle w:val="8"/>
        <w:rPr>
          <w:color w:val="auto"/>
          <w:sz w:val="20"/>
        </w:rPr>
      </w:pPr>
    </w:p>
    <w:p>
      <w:pPr>
        <w:pStyle w:val="8"/>
        <w:rPr>
          <w:color w:val="auto"/>
          <w:sz w:val="20"/>
        </w:rPr>
      </w:pPr>
    </w:p>
    <w:p>
      <w:pPr>
        <w:spacing w:before="226"/>
        <w:ind w:right="111"/>
        <w:jc w:val="center"/>
        <w:rPr>
          <w:color w:val="auto"/>
          <w:sz w:val="32"/>
        </w:rPr>
      </w:pPr>
      <w:r>
        <w:rPr>
          <w:color w:val="auto"/>
          <w:w w:val="99"/>
          <w:sz w:val="32"/>
          <w:u w:val="single"/>
        </w:rPr>
        <w:t xml:space="preserve">       </w:t>
      </w:r>
      <w:r>
        <w:rPr>
          <w:color w:val="auto"/>
          <w:sz w:val="32"/>
        </w:rPr>
        <w:t>年</w:t>
      </w:r>
      <w:r>
        <w:rPr>
          <w:color w:val="auto"/>
          <w:sz w:val="32"/>
          <w:u w:val="single"/>
        </w:rPr>
        <w:t xml:space="preserve">     </w:t>
      </w:r>
      <w:r>
        <w:rPr>
          <w:color w:val="auto"/>
          <w:sz w:val="32"/>
        </w:rPr>
        <w:t>月</w:t>
      </w:r>
      <w:r>
        <w:rPr>
          <w:color w:val="auto"/>
          <w:sz w:val="32"/>
          <w:u w:val="single"/>
        </w:rPr>
        <w:t xml:space="preserve">     </w:t>
      </w:r>
      <w:r>
        <w:rPr>
          <w:color w:val="auto"/>
          <w:sz w:val="32"/>
        </w:rPr>
        <w:t xml:space="preserve">日 </w:t>
      </w:r>
    </w:p>
    <w:p>
      <w:pPr>
        <w:jc w:val="center"/>
        <w:rPr>
          <w:color w:val="auto"/>
          <w:sz w:val="32"/>
        </w:rPr>
        <w:sectPr>
          <w:pgSz w:w="11910" w:h="16840"/>
          <w:pgMar w:top="1580" w:right="700" w:bottom="1040" w:left="920" w:header="0" w:footer="854" w:gutter="0"/>
          <w:cols w:space="720" w:num="1"/>
        </w:sectPr>
      </w:pPr>
    </w:p>
    <w:p>
      <w:pPr>
        <w:pStyle w:val="8"/>
        <w:rPr>
          <w:color w:val="auto"/>
          <w:sz w:val="20"/>
        </w:rPr>
      </w:pPr>
    </w:p>
    <w:p>
      <w:pPr>
        <w:pStyle w:val="8"/>
        <w:rPr>
          <w:color w:val="auto"/>
          <w:sz w:val="20"/>
        </w:rPr>
      </w:pPr>
    </w:p>
    <w:p>
      <w:pPr>
        <w:spacing w:before="183"/>
        <w:ind w:left="621" w:right="883"/>
        <w:jc w:val="center"/>
        <w:rPr>
          <w:b/>
          <w:color w:val="auto"/>
          <w:sz w:val="32"/>
        </w:rPr>
      </w:pPr>
      <w:bookmarkStart w:id="324" w:name="一、投标函及投标函附录"/>
      <w:bookmarkEnd w:id="324"/>
      <w:r>
        <w:rPr>
          <w:b/>
          <w:color w:val="auto"/>
          <w:sz w:val="32"/>
        </w:rPr>
        <w:t>一、投标函及投标函附录</w:t>
      </w:r>
    </w:p>
    <w:p>
      <w:pPr>
        <w:pStyle w:val="8"/>
        <w:rPr>
          <w:b/>
          <w:color w:val="auto"/>
          <w:sz w:val="32"/>
        </w:rPr>
      </w:pPr>
    </w:p>
    <w:p>
      <w:pPr>
        <w:pStyle w:val="8"/>
        <w:spacing w:before="3"/>
        <w:rPr>
          <w:b/>
          <w:color w:val="auto"/>
          <w:sz w:val="27"/>
        </w:rPr>
      </w:pPr>
    </w:p>
    <w:p>
      <w:pPr>
        <w:ind w:left="612" w:right="883"/>
        <w:jc w:val="center"/>
        <w:rPr>
          <w:b/>
          <w:color w:val="auto"/>
          <w:sz w:val="24"/>
        </w:rPr>
      </w:pPr>
      <w:bookmarkStart w:id="325" w:name="（一）投标函"/>
      <w:bookmarkEnd w:id="325"/>
      <w:r>
        <w:rPr>
          <w:b/>
          <w:color w:val="auto"/>
          <w:sz w:val="24"/>
        </w:rPr>
        <w:t>（一）投标函</w:t>
      </w:r>
    </w:p>
    <w:p>
      <w:pPr>
        <w:pStyle w:val="8"/>
        <w:spacing w:before="11"/>
        <w:rPr>
          <w:b/>
          <w:color w:val="auto"/>
          <w:sz w:val="32"/>
        </w:rPr>
      </w:pPr>
    </w:p>
    <w:p>
      <w:pPr>
        <w:pStyle w:val="8"/>
        <w:ind w:left="669"/>
        <w:rPr>
          <w:color w:val="auto"/>
        </w:rPr>
      </w:pPr>
      <w:r>
        <w:rPr>
          <w:color w:val="auto"/>
        </w:rPr>
        <w:t>（招标人名称）：</w:t>
      </w:r>
    </w:p>
    <w:p>
      <w:pPr>
        <w:pStyle w:val="44"/>
        <w:numPr>
          <w:ilvl w:val="0"/>
          <w:numId w:val="92"/>
        </w:numPr>
        <w:tabs>
          <w:tab w:val="left" w:pos="1386"/>
        </w:tabs>
        <w:spacing w:before="171"/>
        <w:ind w:hanging="314"/>
        <w:rPr>
          <w:color w:val="auto"/>
          <w:sz w:val="21"/>
        </w:rPr>
      </w:pPr>
      <w:r>
        <w:rPr>
          <w:color w:val="auto"/>
          <w:spacing w:val="-13"/>
          <w:sz w:val="21"/>
        </w:rPr>
        <w:t>我方已仔细研究了</w:t>
      </w:r>
      <w:r>
        <w:rPr>
          <w:color w:val="auto"/>
          <w:spacing w:val="-10"/>
          <w:sz w:val="21"/>
          <w:u w:val="single"/>
        </w:rPr>
        <w:t>（项目名称</w:t>
      </w:r>
      <w:r>
        <w:rPr>
          <w:color w:val="auto"/>
          <w:spacing w:val="-34"/>
          <w:sz w:val="21"/>
          <w:u w:val="single"/>
        </w:rPr>
        <w:t>）</w:t>
      </w:r>
      <w:r>
        <w:rPr>
          <w:color w:val="auto"/>
          <w:spacing w:val="-13"/>
          <w:sz w:val="21"/>
        </w:rPr>
        <w:t>设计施工总承包招标文件的全部内容，愿意以投标报价总金</w:t>
      </w:r>
    </w:p>
    <w:p>
      <w:pPr>
        <w:pStyle w:val="8"/>
        <w:tabs>
          <w:tab w:val="left" w:pos="2788"/>
          <w:tab w:val="left" w:pos="4101"/>
          <w:tab w:val="left" w:pos="6118"/>
          <w:tab w:val="left" w:pos="8540"/>
        </w:tabs>
        <w:spacing w:before="172"/>
        <w:ind w:left="669"/>
        <w:rPr>
          <w:color w:val="auto"/>
        </w:rPr>
      </w:pPr>
      <w:r>
        <w:rPr>
          <w:color w:val="auto"/>
          <w:spacing w:val="-10"/>
        </w:rPr>
        <w:t>额（大写</w:t>
      </w:r>
      <w:r>
        <w:rPr>
          <w:color w:val="auto"/>
          <w:spacing w:val="-8"/>
        </w:rPr>
        <w:t>：</w:t>
      </w:r>
      <w:r>
        <w:rPr>
          <w:color w:val="auto"/>
          <w:spacing w:val="-8"/>
          <w:u w:val="single"/>
        </w:rPr>
        <w:t xml:space="preserve"> </w:t>
      </w:r>
      <w:r>
        <w:rPr>
          <w:color w:val="auto"/>
          <w:spacing w:val="-8"/>
          <w:u w:val="single"/>
        </w:rPr>
        <w:tab/>
      </w:r>
      <w:r>
        <w:rPr>
          <w:color w:val="auto"/>
          <w:spacing w:val="-10"/>
        </w:rPr>
        <w:t>，小写</w:t>
      </w:r>
      <w:r>
        <w:rPr>
          <w:color w:val="auto"/>
          <w:spacing w:val="-7"/>
        </w:rPr>
        <w:t>￥</w:t>
      </w:r>
      <w:r>
        <w:rPr>
          <w:color w:val="auto"/>
          <w:spacing w:val="-7"/>
          <w:u w:val="single"/>
        </w:rPr>
        <w:t xml:space="preserve"> </w:t>
      </w:r>
      <w:r>
        <w:rPr>
          <w:color w:val="auto"/>
          <w:spacing w:val="-7"/>
          <w:u w:val="single"/>
        </w:rPr>
        <w:tab/>
      </w:r>
      <w:r>
        <w:rPr>
          <w:color w:val="auto"/>
          <w:spacing w:val="-10"/>
        </w:rPr>
        <w:t>）进行报价</w:t>
      </w:r>
      <w:r>
        <w:rPr>
          <w:b/>
          <w:color w:val="auto"/>
          <w:spacing w:val="-10"/>
        </w:rPr>
        <w:t>。</w:t>
      </w:r>
      <w:r>
        <w:rPr>
          <w:color w:val="auto"/>
          <w:spacing w:val="-10"/>
        </w:rPr>
        <w:t>工</w:t>
      </w:r>
      <w:r>
        <w:rPr>
          <w:color w:val="auto"/>
          <w:spacing w:val="-7"/>
        </w:rPr>
        <w:t>期</w:t>
      </w:r>
      <w:r>
        <w:rPr>
          <w:color w:val="auto"/>
          <w:spacing w:val="-7"/>
          <w:u w:val="single"/>
        </w:rPr>
        <w:t xml:space="preserve"> </w:t>
      </w:r>
      <w:r>
        <w:rPr>
          <w:color w:val="auto"/>
          <w:spacing w:val="-7"/>
          <w:u w:val="single"/>
        </w:rPr>
        <w:tab/>
      </w:r>
      <w:r>
        <w:rPr>
          <w:color w:val="auto"/>
          <w:spacing w:val="-10"/>
          <w:u w:val="single"/>
        </w:rPr>
        <w:t>日</w:t>
      </w:r>
      <w:r>
        <w:rPr>
          <w:color w:val="auto"/>
          <w:spacing w:val="-8"/>
          <w:u w:val="single"/>
        </w:rPr>
        <w:t>历</w:t>
      </w:r>
      <w:r>
        <w:rPr>
          <w:color w:val="auto"/>
          <w:spacing w:val="-10"/>
        </w:rPr>
        <w:t>天（其中设计工</w:t>
      </w:r>
      <w:r>
        <w:rPr>
          <w:color w:val="auto"/>
          <w:spacing w:val="-7"/>
        </w:rPr>
        <w:t>期</w:t>
      </w:r>
      <w:r>
        <w:rPr>
          <w:color w:val="auto"/>
          <w:spacing w:val="-7"/>
          <w:u w:val="single"/>
        </w:rPr>
        <w:t xml:space="preserve"> </w:t>
      </w:r>
      <w:r>
        <w:rPr>
          <w:color w:val="auto"/>
          <w:spacing w:val="-7"/>
          <w:u w:val="single"/>
        </w:rPr>
        <w:tab/>
      </w:r>
      <w:r>
        <w:rPr>
          <w:color w:val="auto"/>
          <w:spacing w:val="-10"/>
          <w:u w:val="single"/>
        </w:rPr>
        <w:t>日</w:t>
      </w:r>
      <w:r>
        <w:rPr>
          <w:color w:val="auto"/>
          <w:spacing w:val="-8"/>
          <w:u w:val="single"/>
        </w:rPr>
        <w:t>历</w:t>
      </w:r>
      <w:r>
        <w:rPr>
          <w:color w:val="auto"/>
          <w:spacing w:val="-10"/>
        </w:rPr>
        <w:t>天，</w:t>
      </w:r>
    </w:p>
    <w:p>
      <w:pPr>
        <w:pStyle w:val="8"/>
        <w:tabs>
          <w:tab w:val="left" w:pos="1111"/>
        </w:tabs>
        <w:spacing w:before="171"/>
        <w:ind w:right="155"/>
        <w:jc w:val="center"/>
        <w:rPr>
          <w:color w:val="auto"/>
        </w:rPr>
      </w:pPr>
      <w:r>
        <w:rPr>
          <w:color w:val="auto"/>
          <w:spacing w:val="-10"/>
        </w:rPr>
        <w:t>施工工</w:t>
      </w:r>
      <w:r>
        <w:rPr>
          <w:color w:val="auto"/>
          <w:spacing w:val="-8"/>
        </w:rPr>
        <w:t>期</w:t>
      </w:r>
      <w:r>
        <w:rPr>
          <w:color w:val="auto"/>
          <w:spacing w:val="-8"/>
          <w:u w:val="single"/>
        </w:rPr>
        <w:t xml:space="preserve"> </w:t>
      </w:r>
      <w:r>
        <w:rPr>
          <w:color w:val="auto"/>
          <w:spacing w:val="-8"/>
          <w:u w:val="single"/>
        </w:rPr>
        <w:tab/>
      </w:r>
      <w:r>
        <w:rPr>
          <w:color w:val="auto"/>
          <w:spacing w:val="-10"/>
          <w:u w:val="single"/>
        </w:rPr>
        <w:t>日历</w:t>
      </w:r>
      <w:r>
        <w:rPr>
          <w:color w:val="auto"/>
          <w:spacing w:val="-10"/>
        </w:rPr>
        <w:t>天），按合同约</w:t>
      </w:r>
      <w:r>
        <w:rPr>
          <w:color w:val="auto"/>
          <w:spacing w:val="-9"/>
        </w:rPr>
        <w:t>定</w:t>
      </w:r>
      <w:r>
        <w:rPr>
          <w:color w:val="auto"/>
          <w:spacing w:val="-10"/>
        </w:rPr>
        <w:t>进</w:t>
      </w:r>
      <w:r>
        <w:rPr>
          <w:color w:val="auto"/>
          <w:spacing w:val="-8"/>
        </w:rPr>
        <w:t>行</w:t>
      </w:r>
      <w:r>
        <w:rPr>
          <w:color w:val="auto"/>
          <w:spacing w:val="-10"/>
        </w:rPr>
        <w:t>设计施工总承包，修补工</w:t>
      </w:r>
      <w:r>
        <w:rPr>
          <w:color w:val="auto"/>
          <w:spacing w:val="-8"/>
        </w:rPr>
        <w:t>程</w:t>
      </w:r>
      <w:r>
        <w:rPr>
          <w:color w:val="auto"/>
          <w:spacing w:val="-10"/>
        </w:rPr>
        <w:t>中的任何缺陷，实现工程</w:t>
      </w:r>
      <w:r>
        <w:rPr>
          <w:color w:val="auto"/>
          <w:spacing w:val="-8"/>
        </w:rPr>
        <w:t>目</w:t>
      </w:r>
      <w:r>
        <w:rPr>
          <w:color w:val="auto"/>
          <w:spacing w:val="-10"/>
        </w:rPr>
        <w:t>的</w:t>
      </w:r>
      <w:r>
        <w:rPr>
          <w:color w:val="auto"/>
        </w:rPr>
        <w:t>。</w:t>
      </w:r>
    </w:p>
    <w:p>
      <w:pPr>
        <w:pStyle w:val="44"/>
        <w:numPr>
          <w:ilvl w:val="0"/>
          <w:numId w:val="92"/>
        </w:numPr>
        <w:tabs>
          <w:tab w:val="left" w:pos="1386"/>
        </w:tabs>
        <w:spacing w:before="170"/>
        <w:ind w:hanging="314"/>
        <w:rPr>
          <w:color w:val="auto"/>
          <w:sz w:val="21"/>
        </w:rPr>
      </w:pPr>
      <w:r>
        <w:rPr>
          <w:color w:val="auto"/>
          <w:spacing w:val="-10"/>
          <w:sz w:val="21"/>
        </w:rPr>
        <w:t>我方承诺在招标文件规定的投标有效期内不修改、撤销投标文件。</w:t>
      </w:r>
    </w:p>
    <w:p>
      <w:pPr>
        <w:pStyle w:val="44"/>
        <w:numPr>
          <w:ilvl w:val="0"/>
          <w:numId w:val="92"/>
        </w:numPr>
        <w:tabs>
          <w:tab w:val="left" w:pos="1386"/>
          <w:tab w:val="left" w:pos="7531"/>
        </w:tabs>
        <w:spacing w:before="172"/>
        <w:ind w:hanging="314"/>
        <w:rPr>
          <w:color w:val="auto"/>
          <w:sz w:val="21"/>
        </w:rPr>
      </w:pPr>
      <w:r>
        <w:rPr>
          <w:color w:val="auto"/>
          <w:spacing w:val="-10"/>
          <w:sz w:val="21"/>
        </w:rPr>
        <w:t>随同本</w:t>
      </w:r>
      <w:r>
        <w:rPr>
          <w:color w:val="auto"/>
          <w:spacing w:val="-8"/>
          <w:sz w:val="21"/>
        </w:rPr>
        <w:t>投</w:t>
      </w:r>
      <w:r>
        <w:rPr>
          <w:color w:val="auto"/>
          <w:spacing w:val="-10"/>
          <w:sz w:val="21"/>
        </w:rPr>
        <w:t>标函提交投标保证金一份</w:t>
      </w:r>
      <w:r>
        <w:rPr>
          <w:color w:val="auto"/>
          <w:spacing w:val="-8"/>
          <w:sz w:val="21"/>
        </w:rPr>
        <w:t>，</w:t>
      </w:r>
      <w:r>
        <w:rPr>
          <w:color w:val="auto"/>
          <w:spacing w:val="-10"/>
          <w:sz w:val="21"/>
        </w:rPr>
        <w:t>金额为人民</w:t>
      </w:r>
      <w:r>
        <w:rPr>
          <w:color w:val="auto"/>
          <w:spacing w:val="-11"/>
          <w:sz w:val="21"/>
        </w:rPr>
        <w:t>币</w:t>
      </w:r>
      <w:r>
        <w:rPr>
          <w:color w:val="auto"/>
          <w:spacing w:val="-10"/>
          <w:sz w:val="21"/>
          <w:u w:val="single"/>
        </w:rPr>
        <w:t>（大写</w:t>
      </w:r>
      <w:r>
        <w:rPr>
          <w:color w:val="auto"/>
          <w:spacing w:val="-8"/>
          <w:sz w:val="21"/>
          <w:u w:val="single"/>
        </w:rPr>
        <w:t>）</w:t>
      </w:r>
      <w:r>
        <w:rPr>
          <w:color w:val="auto"/>
          <w:spacing w:val="-8"/>
          <w:sz w:val="21"/>
        </w:rPr>
        <w:t>（</w:t>
      </w:r>
      <w:r>
        <w:rPr>
          <w:rFonts w:ascii="Times New Roman" w:hAnsi="Times New Roman" w:eastAsia="Times New Roman"/>
          <w:color w:val="auto"/>
          <w:spacing w:val="-8"/>
          <w:sz w:val="21"/>
        </w:rPr>
        <w:t>¥</w:t>
      </w:r>
      <w:r>
        <w:rPr>
          <w:rFonts w:ascii="Times New Roman" w:hAnsi="Times New Roman" w:eastAsia="Times New Roman"/>
          <w:color w:val="auto"/>
          <w:spacing w:val="-8"/>
          <w:sz w:val="21"/>
          <w:u w:val="single"/>
        </w:rPr>
        <w:t xml:space="preserve"> </w:t>
      </w:r>
      <w:r>
        <w:rPr>
          <w:rFonts w:ascii="Times New Roman" w:hAnsi="Times New Roman" w:eastAsia="Times New Roman"/>
          <w:color w:val="auto"/>
          <w:spacing w:val="-8"/>
          <w:sz w:val="21"/>
          <w:u w:val="single"/>
        </w:rPr>
        <w:tab/>
      </w:r>
      <w:r>
        <w:rPr>
          <w:color w:val="auto"/>
          <w:spacing w:val="-10"/>
          <w:sz w:val="21"/>
        </w:rPr>
        <w:t>）。</w:t>
      </w:r>
    </w:p>
    <w:p>
      <w:pPr>
        <w:pStyle w:val="44"/>
        <w:numPr>
          <w:ilvl w:val="0"/>
          <w:numId w:val="92"/>
        </w:numPr>
        <w:tabs>
          <w:tab w:val="left" w:pos="1386"/>
        </w:tabs>
        <w:spacing w:before="171"/>
        <w:ind w:hanging="314"/>
        <w:rPr>
          <w:color w:val="auto"/>
          <w:sz w:val="21"/>
        </w:rPr>
      </w:pPr>
      <w:r>
        <w:rPr>
          <w:color w:val="auto"/>
          <w:spacing w:val="-9"/>
          <w:sz w:val="21"/>
        </w:rPr>
        <w:t>如我方中标：</w:t>
      </w:r>
    </w:p>
    <w:p>
      <w:pPr>
        <w:pStyle w:val="44"/>
        <w:numPr>
          <w:ilvl w:val="1"/>
          <w:numId w:val="92"/>
        </w:numPr>
        <w:tabs>
          <w:tab w:val="left" w:pos="1875"/>
        </w:tabs>
        <w:spacing w:before="170"/>
        <w:ind w:right="185" w:hanging="1875"/>
        <w:rPr>
          <w:color w:val="auto"/>
          <w:sz w:val="21"/>
        </w:rPr>
      </w:pPr>
      <w:r>
        <w:rPr>
          <w:color w:val="auto"/>
          <w:spacing w:val="-11"/>
          <w:sz w:val="21"/>
        </w:rPr>
        <w:t>我方承诺在收</w:t>
      </w:r>
      <w:r>
        <w:rPr>
          <w:color w:val="auto"/>
          <w:spacing w:val="-10"/>
          <w:sz w:val="21"/>
        </w:rPr>
        <w:t>到中标通知书后，在中标通知书规定的期限内与你方签订合同。</w:t>
      </w:r>
    </w:p>
    <w:p>
      <w:pPr>
        <w:pStyle w:val="44"/>
        <w:numPr>
          <w:ilvl w:val="1"/>
          <w:numId w:val="92"/>
        </w:numPr>
        <w:tabs>
          <w:tab w:val="left" w:pos="1875"/>
        </w:tabs>
        <w:spacing w:before="172"/>
        <w:rPr>
          <w:color w:val="auto"/>
          <w:sz w:val="21"/>
        </w:rPr>
      </w:pPr>
      <w:r>
        <w:rPr>
          <w:color w:val="auto"/>
          <w:spacing w:val="-11"/>
          <w:sz w:val="21"/>
        </w:rPr>
        <w:t>随同本投标函递交的投标函附录属于合同文件的组成部分。</w:t>
      </w:r>
    </w:p>
    <w:p>
      <w:pPr>
        <w:pStyle w:val="44"/>
        <w:numPr>
          <w:ilvl w:val="1"/>
          <w:numId w:val="92"/>
        </w:numPr>
        <w:tabs>
          <w:tab w:val="left" w:pos="1875"/>
        </w:tabs>
        <w:spacing w:before="170"/>
        <w:rPr>
          <w:color w:val="auto"/>
          <w:sz w:val="21"/>
        </w:rPr>
      </w:pPr>
      <w:r>
        <w:rPr>
          <w:color w:val="auto"/>
          <w:spacing w:val="-10"/>
          <w:sz w:val="21"/>
        </w:rPr>
        <w:t>我方承诺按照招标文件规定向你方递交履约担保。</w:t>
      </w:r>
    </w:p>
    <w:p>
      <w:pPr>
        <w:pStyle w:val="44"/>
        <w:numPr>
          <w:ilvl w:val="1"/>
          <w:numId w:val="92"/>
        </w:numPr>
        <w:tabs>
          <w:tab w:val="left" w:pos="1875"/>
        </w:tabs>
        <w:spacing w:before="171"/>
        <w:rPr>
          <w:color w:val="auto"/>
          <w:sz w:val="21"/>
        </w:rPr>
      </w:pPr>
      <w:r>
        <w:rPr>
          <w:color w:val="auto"/>
          <w:spacing w:val="-10"/>
          <w:sz w:val="21"/>
        </w:rPr>
        <w:t>我方承诺在合同约定的期限内完成并移交全部合同工程。</w:t>
      </w:r>
    </w:p>
    <w:p>
      <w:pPr>
        <w:pStyle w:val="44"/>
        <w:numPr>
          <w:ilvl w:val="0"/>
          <w:numId w:val="92"/>
        </w:numPr>
        <w:tabs>
          <w:tab w:val="left" w:pos="1386"/>
        </w:tabs>
        <w:spacing w:before="172" w:line="391" w:lineRule="auto"/>
        <w:ind w:left="669" w:right="926" w:firstLine="403"/>
        <w:rPr>
          <w:color w:val="auto"/>
          <w:sz w:val="21"/>
        </w:rPr>
      </w:pPr>
      <w:r>
        <w:rPr>
          <w:color w:val="auto"/>
          <w:spacing w:val="-16"/>
          <w:sz w:val="21"/>
        </w:rPr>
        <w:t xml:space="preserve">我方在此声明，所递交的投标文件及有关资料内容完整、真实和准确，且不存在第二章“ </w:t>
      </w:r>
      <w:r>
        <w:rPr>
          <w:color w:val="auto"/>
          <w:spacing w:val="-15"/>
          <w:sz w:val="21"/>
        </w:rPr>
        <w:t xml:space="preserve">投标人须知”第 </w:t>
      </w:r>
      <w:r>
        <w:rPr>
          <w:rFonts w:ascii="Times New Roman" w:hAnsi="Times New Roman" w:eastAsia="Times New Roman"/>
          <w:color w:val="auto"/>
          <w:spacing w:val="-4"/>
          <w:sz w:val="21"/>
        </w:rPr>
        <w:t>1.4.3</w:t>
      </w:r>
      <w:r>
        <w:rPr>
          <w:rFonts w:ascii="Times New Roman" w:hAnsi="Times New Roman" w:eastAsia="Times New Roman"/>
          <w:color w:val="auto"/>
          <w:spacing w:val="-10"/>
          <w:sz w:val="21"/>
        </w:rPr>
        <w:t xml:space="preserve"> </w:t>
      </w:r>
      <w:r>
        <w:rPr>
          <w:color w:val="auto"/>
          <w:spacing w:val="-21"/>
          <w:sz w:val="21"/>
        </w:rPr>
        <w:t xml:space="preserve">项和第 </w:t>
      </w:r>
      <w:r>
        <w:rPr>
          <w:rFonts w:ascii="Times New Roman" w:hAnsi="Times New Roman" w:eastAsia="Times New Roman"/>
          <w:color w:val="auto"/>
          <w:spacing w:val="-4"/>
          <w:sz w:val="21"/>
        </w:rPr>
        <w:t>1.4.4</w:t>
      </w:r>
      <w:r>
        <w:rPr>
          <w:rFonts w:ascii="Times New Roman" w:hAnsi="Times New Roman" w:eastAsia="Times New Roman"/>
          <w:color w:val="auto"/>
          <w:spacing w:val="-7"/>
          <w:sz w:val="21"/>
        </w:rPr>
        <w:t xml:space="preserve"> </w:t>
      </w:r>
      <w:r>
        <w:rPr>
          <w:color w:val="auto"/>
          <w:spacing w:val="-10"/>
          <w:sz w:val="21"/>
        </w:rPr>
        <w:t>项规定的任何一种情形。</w:t>
      </w:r>
    </w:p>
    <w:p>
      <w:pPr>
        <w:pStyle w:val="8"/>
        <w:spacing w:before="2"/>
        <w:ind w:left="1072"/>
        <w:rPr>
          <w:color w:val="auto"/>
        </w:rPr>
      </w:pPr>
      <w:r>
        <w:rPr>
          <w:rFonts w:ascii="Times New Roman" w:eastAsia="Times New Roman"/>
          <w:color w:val="auto"/>
        </w:rPr>
        <w:t>6</w:t>
      </w:r>
      <w:r>
        <w:rPr>
          <w:color w:val="auto"/>
        </w:rPr>
        <w:t>．（其他补充说明）。</w:t>
      </w:r>
    </w:p>
    <w:p>
      <w:pPr>
        <w:pStyle w:val="8"/>
        <w:rPr>
          <w:color w:val="auto"/>
          <w:sz w:val="22"/>
        </w:rPr>
      </w:pPr>
    </w:p>
    <w:p>
      <w:pPr>
        <w:pStyle w:val="8"/>
        <w:rPr>
          <w:color w:val="auto"/>
          <w:sz w:val="22"/>
        </w:rPr>
      </w:pPr>
    </w:p>
    <w:p>
      <w:pPr>
        <w:pStyle w:val="8"/>
        <w:rPr>
          <w:color w:val="auto"/>
          <w:sz w:val="22"/>
        </w:rPr>
      </w:pPr>
    </w:p>
    <w:p>
      <w:pPr>
        <w:pStyle w:val="8"/>
        <w:spacing w:before="6"/>
        <w:rPr>
          <w:color w:val="auto"/>
          <w:sz w:val="26"/>
        </w:rPr>
      </w:pPr>
    </w:p>
    <w:p>
      <w:pPr>
        <w:pStyle w:val="8"/>
        <w:ind w:left="4200"/>
        <w:rPr>
          <w:color w:val="auto"/>
        </w:rPr>
      </w:pPr>
      <w:r>
        <w:rPr>
          <w:color w:val="auto"/>
        </w:rPr>
        <w:t>投标人：（盖单位章）</w:t>
      </w:r>
    </w:p>
    <w:p>
      <w:pPr>
        <w:pStyle w:val="8"/>
        <w:rPr>
          <w:color w:val="auto"/>
          <w:sz w:val="20"/>
        </w:rPr>
      </w:pPr>
    </w:p>
    <w:p>
      <w:pPr>
        <w:pStyle w:val="8"/>
        <w:spacing w:before="3"/>
        <w:rPr>
          <w:color w:val="auto"/>
          <w:sz w:val="26"/>
        </w:rPr>
      </w:pPr>
    </w:p>
    <w:p>
      <w:pPr>
        <w:pStyle w:val="8"/>
        <w:ind w:left="4200"/>
        <w:rPr>
          <w:color w:val="auto"/>
        </w:rPr>
      </w:pPr>
      <w:r>
        <w:rPr>
          <w:color w:val="auto"/>
        </w:rPr>
        <w:t>法定代表人或其委托代理人：（签字）</w:t>
      </w:r>
    </w:p>
    <w:p>
      <w:pPr>
        <w:pStyle w:val="8"/>
        <w:rPr>
          <w:color w:val="auto"/>
          <w:sz w:val="20"/>
        </w:rPr>
      </w:pPr>
    </w:p>
    <w:p>
      <w:pPr>
        <w:pStyle w:val="8"/>
        <w:spacing w:before="4"/>
        <w:rPr>
          <w:color w:val="auto"/>
          <w:sz w:val="26"/>
        </w:rPr>
      </w:pPr>
    </w:p>
    <w:p>
      <w:pPr>
        <w:pStyle w:val="8"/>
        <w:ind w:left="4200"/>
        <w:rPr>
          <w:color w:val="auto"/>
        </w:rPr>
      </w:pPr>
      <w:r>
        <w:rPr>
          <w:color w:val="auto"/>
          <w:spacing w:val="-10"/>
        </w:rPr>
        <w:t>地址：</w:t>
      </w:r>
    </w:p>
    <w:p>
      <w:pPr>
        <w:pStyle w:val="8"/>
        <w:rPr>
          <w:color w:val="auto"/>
          <w:sz w:val="20"/>
        </w:rPr>
      </w:pPr>
    </w:p>
    <w:p>
      <w:pPr>
        <w:pStyle w:val="8"/>
        <w:spacing w:before="3"/>
        <w:rPr>
          <w:color w:val="auto"/>
          <w:sz w:val="26"/>
        </w:rPr>
      </w:pPr>
    </w:p>
    <w:p>
      <w:pPr>
        <w:pStyle w:val="8"/>
        <w:ind w:left="4200"/>
        <w:rPr>
          <w:color w:val="auto"/>
        </w:rPr>
      </w:pPr>
      <w:r>
        <w:rPr>
          <w:color w:val="auto"/>
          <w:spacing w:val="-10"/>
        </w:rPr>
        <w:t>电话：</w:t>
      </w:r>
    </w:p>
    <w:p>
      <w:pPr>
        <w:pStyle w:val="8"/>
        <w:rPr>
          <w:color w:val="auto"/>
          <w:sz w:val="20"/>
        </w:rPr>
      </w:pPr>
    </w:p>
    <w:p>
      <w:pPr>
        <w:pStyle w:val="8"/>
        <w:spacing w:before="1"/>
        <w:rPr>
          <w:color w:val="auto"/>
          <w:sz w:val="26"/>
        </w:rPr>
      </w:pPr>
    </w:p>
    <w:p>
      <w:pPr>
        <w:pStyle w:val="8"/>
        <w:ind w:left="962" w:right="223"/>
        <w:jc w:val="center"/>
        <w:rPr>
          <w:color w:val="auto"/>
        </w:rPr>
      </w:pPr>
      <w:r>
        <w:rPr>
          <w:color w:val="auto"/>
        </w:rPr>
        <w:t>年月日</w:t>
      </w:r>
    </w:p>
    <w:p>
      <w:pPr>
        <w:jc w:val="center"/>
        <w:rPr>
          <w:color w:val="auto"/>
        </w:rPr>
        <w:sectPr>
          <w:pgSz w:w="11910" w:h="16840"/>
          <w:pgMar w:top="1580" w:right="700" w:bottom="1040" w:left="920" w:header="0" w:footer="854" w:gutter="0"/>
          <w:cols w:space="720" w:num="1"/>
        </w:sectPr>
      </w:pPr>
    </w:p>
    <w:p>
      <w:pPr>
        <w:pStyle w:val="8"/>
        <w:rPr>
          <w:color w:val="auto"/>
          <w:sz w:val="20"/>
        </w:rPr>
      </w:pPr>
    </w:p>
    <w:p>
      <w:pPr>
        <w:pStyle w:val="8"/>
        <w:spacing w:before="11"/>
        <w:rPr>
          <w:color w:val="auto"/>
          <w:sz w:val="17"/>
        </w:rPr>
      </w:pPr>
    </w:p>
    <w:p>
      <w:pPr>
        <w:ind w:left="612" w:right="883"/>
        <w:jc w:val="center"/>
        <w:rPr>
          <w:b/>
          <w:color w:val="auto"/>
          <w:sz w:val="24"/>
        </w:rPr>
      </w:pPr>
      <w:bookmarkStart w:id="326" w:name="（二）投标函附录"/>
      <w:bookmarkEnd w:id="326"/>
      <w:r>
        <w:rPr>
          <w:b/>
          <w:color w:val="auto"/>
          <w:sz w:val="24"/>
        </w:rPr>
        <w:t>（二）投标函附录</w:t>
      </w:r>
    </w:p>
    <w:p>
      <w:pPr>
        <w:pStyle w:val="8"/>
        <w:rPr>
          <w:b/>
          <w:color w:val="auto"/>
          <w:sz w:val="20"/>
        </w:rPr>
      </w:pPr>
    </w:p>
    <w:p>
      <w:pPr>
        <w:pStyle w:val="8"/>
        <w:spacing w:before="3"/>
        <w:rPr>
          <w:b/>
          <w:color w:val="auto"/>
          <w:sz w:val="19"/>
        </w:rPr>
      </w:pPr>
    </w:p>
    <w:p>
      <w:pPr>
        <w:pStyle w:val="8"/>
        <w:spacing w:before="72"/>
        <w:ind w:left="669"/>
        <w:rPr>
          <w:color w:val="auto"/>
        </w:rPr>
      </w:pPr>
      <w:r>
        <w:rPr>
          <w:color w:val="auto"/>
        </w:rPr>
        <w:t>工程名称</w:t>
      </w:r>
      <w:r>
        <w:rPr>
          <w:b/>
          <w:color w:val="auto"/>
        </w:rPr>
        <w:t>：</w:t>
      </w:r>
      <w:r>
        <w:rPr>
          <w:color w:val="auto"/>
        </w:rPr>
        <w:t xml:space="preserve">（项目名称） </w:t>
      </w:r>
    </w:p>
    <w:p>
      <w:pPr>
        <w:pStyle w:val="8"/>
        <w:rPr>
          <w:color w:val="auto"/>
          <w:sz w:val="20"/>
        </w:rPr>
      </w:pPr>
    </w:p>
    <w:p>
      <w:pPr>
        <w:pStyle w:val="8"/>
        <w:spacing w:before="5"/>
        <w:rPr>
          <w:color w:val="auto"/>
          <w:sz w:val="25"/>
        </w:rPr>
      </w:pPr>
    </w:p>
    <w:tbl>
      <w:tblPr>
        <w:tblStyle w:val="34"/>
        <w:tblW w:w="9389" w:type="dxa"/>
        <w:tblInd w:w="3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2407"/>
        <w:gridCol w:w="2428"/>
        <w:gridCol w:w="1859"/>
        <w:gridCol w:w="20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655" w:type="dxa"/>
            <w:tcBorders>
              <w:bottom w:val="single" w:color="000000" w:sz="6" w:space="0"/>
              <w:right w:val="single" w:color="000000" w:sz="6" w:space="0"/>
            </w:tcBorders>
          </w:tcPr>
          <w:p>
            <w:pPr>
              <w:pStyle w:val="45"/>
              <w:spacing w:before="154"/>
              <w:ind w:left="165" w:right="26"/>
              <w:jc w:val="center"/>
              <w:rPr>
                <w:color w:val="auto"/>
                <w:sz w:val="21"/>
              </w:rPr>
            </w:pPr>
            <w:r>
              <w:rPr>
                <w:color w:val="auto"/>
                <w:spacing w:val="-10"/>
                <w:sz w:val="21"/>
              </w:rPr>
              <w:t>序号</w:t>
            </w:r>
            <w:r>
              <w:rPr>
                <w:color w:val="auto"/>
                <w:sz w:val="21"/>
              </w:rPr>
              <w:t xml:space="preserve"> </w:t>
            </w:r>
          </w:p>
        </w:tc>
        <w:tc>
          <w:tcPr>
            <w:tcW w:w="2407" w:type="dxa"/>
            <w:tcBorders>
              <w:left w:val="single" w:color="000000" w:sz="6" w:space="0"/>
              <w:bottom w:val="single" w:color="000000" w:sz="6" w:space="0"/>
              <w:right w:val="single" w:color="000000" w:sz="6" w:space="0"/>
            </w:tcBorders>
          </w:tcPr>
          <w:p>
            <w:pPr>
              <w:pStyle w:val="45"/>
              <w:spacing w:before="154"/>
              <w:ind w:left="1030" w:right="902"/>
              <w:jc w:val="center"/>
              <w:rPr>
                <w:color w:val="auto"/>
                <w:sz w:val="21"/>
              </w:rPr>
            </w:pPr>
            <w:r>
              <w:rPr>
                <w:color w:val="auto"/>
                <w:sz w:val="21"/>
              </w:rPr>
              <w:t xml:space="preserve">项目 </w:t>
            </w:r>
          </w:p>
        </w:tc>
        <w:tc>
          <w:tcPr>
            <w:tcW w:w="6327" w:type="dxa"/>
            <w:gridSpan w:val="3"/>
            <w:tcBorders>
              <w:left w:val="single" w:color="000000" w:sz="6" w:space="0"/>
              <w:bottom w:val="single" w:color="000000" w:sz="6" w:space="0"/>
            </w:tcBorders>
          </w:tcPr>
          <w:p>
            <w:pPr>
              <w:pStyle w:val="45"/>
              <w:spacing w:before="154"/>
              <w:ind w:left="2992" w:right="2852"/>
              <w:jc w:val="center"/>
              <w:rPr>
                <w:color w:val="auto"/>
                <w:sz w:val="21"/>
              </w:rPr>
            </w:pPr>
            <w:r>
              <w:rPr>
                <w:color w:val="auto"/>
                <w:sz w:val="21"/>
              </w:rPr>
              <w:t xml:space="preserve">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655" w:type="dxa"/>
            <w:tcBorders>
              <w:top w:val="single" w:color="000000" w:sz="6" w:space="0"/>
              <w:bottom w:val="single" w:color="000000" w:sz="6" w:space="0"/>
              <w:right w:val="single" w:color="000000" w:sz="6" w:space="0"/>
            </w:tcBorders>
          </w:tcPr>
          <w:p>
            <w:pPr>
              <w:pStyle w:val="45"/>
              <w:spacing w:before="154"/>
              <w:ind w:left="151" w:right="26"/>
              <w:jc w:val="center"/>
              <w:rPr>
                <w:color w:val="auto"/>
                <w:sz w:val="21"/>
              </w:rPr>
            </w:pPr>
            <w:r>
              <w:rPr>
                <w:color w:val="auto"/>
                <w:sz w:val="21"/>
              </w:rPr>
              <w:t xml:space="preserve">1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154"/>
              <w:ind w:left="113"/>
              <w:rPr>
                <w:color w:val="auto"/>
                <w:sz w:val="21"/>
              </w:rPr>
            </w:pPr>
            <w:r>
              <w:rPr>
                <w:color w:val="auto"/>
                <w:sz w:val="21"/>
              </w:rPr>
              <w:t xml:space="preserve">工程名称 </w:t>
            </w:r>
          </w:p>
        </w:tc>
        <w:tc>
          <w:tcPr>
            <w:tcW w:w="6327" w:type="dxa"/>
            <w:gridSpan w:val="3"/>
            <w:tcBorders>
              <w:top w:val="single" w:color="000000" w:sz="6" w:space="0"/>
              <w:left w:val="single" w:color="000000" w:sz="6" w:space="0"/>
              <w:bottom w:val="single" w:color="000000" w:sz="6" w:space="0"/>
            </w:tcBorders>
          </w:tcPr>
          <w:p>
            <w:pPr>
              <w:pStyle w:val="45"/>
              <w:spacing w:before="154"/>
              <w:ind w:left="113"/>
              <w:rPr>
                <w:color w:val="auto"/>
                <w:sz w:val="21"/>
              </w:rPr>
            </w:pPr>
            <w:r>
              <w:rPr>
                <w:color w:val="auto"/>
                <w:sz w:val="21"/>
              </w:rPr>
              <w:t xml:space="preserve">（项目名称）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655" w:type="dxa"/>
            <w:tcBorders>
              <w:top w:val="single" w:color="000000" w:sz="6" w:space="0"/>
              <w:bottom w:val="single" w:color="000000" w:sz="6" w:space="0"/>
              <w:right w:val="single" w:color="000000" w:sz="6" w:space="0"/>
            </w:tcBorders>
          </w:tcPr>
          <w:p>
            <w:pPr>
              <w:pStyle w:val="45"/>
              <w:spacing w:before="11"/>
              <w:rPr>
                <w:color w:val="auto"/>
                <w:sz w:val="20"/>
              </w:rPr>
            </w:pPr>
          </w:p>
          <w:p>
            <w:pPr>
              <w:pStyle w:val="45"/>
              <w:ind w:left="151" w:right="26"/>
              <w:jc w:val="center"/>
              <w:rPr>
                <w:color w:val="auto"/>
                <w:sz w:val="21"/>
              </w:rPr>
            </w:pPr>
            <w:r>
              <w:rPr>
                <w:color w:val="auto"/>
                <w:sz w:val="21"/>
              </w:rPr>
              <w:t xml:space="preserve">2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3"/>
              <w:rPr>
                <w:color w:val="auto"/>
                <w:sz w:val="24"/>
              </w:rPr>
            </w:pPr>
          </w:p>
          <w:p>
            <w:pPr>
              <w:pStyle w:val="45"/>
              <w:ind w:left="113"/>
              <w:rPr>
                <w:color w:val="auto"/>
                <w:sz w:val="21"/>
              </w:rPr>
            </w:pPr>
            <w:r>
              <w:rPr>
                <w:color w:val="auto"/>
                <w:sz w:val="21"/>
              </w:rPr>
              <w:t xml:space="preserve">投标总价（元） </w:t>
            </w:r>
          </w:p>
        </w:tc>
        <w:tc>
          <w:tcPr>
            <w:tcW w:w="6327" w:type="dxa"/>
            <w:gridSpan w:val="3"/>
            <w:tcBorders>
              <w:top w:val="single" w:color="000000" w:sz="6" w:space="0"/>
              <w:left w:val="single" w:color="000000" w:sz="6" w:space="0"/>
              <w:bottom w:val="single" w:color="000000" w:sz="6" w:space="0"/>
            </w:tcBorders>
          </w:tcPr>
          <w:p>
            <w:pPr>
              <w:pStyle w:val="45"/>
              <w:spacing w:before="109"/>
              <w:ind w:left="113"/>
              <w:rPr>
                <w:color w:val="auto"/>
                <w:sz w:val="21"/>
              </w:rPr>
            </w:pPr>
            <w:r>
              <w:rPr>
                <w:color w:val="auto"/>
                <w:spacing w:val="-10"/>
                <w:sz w:val="21"/>
              </w:rPr>
              <w:t>大写：</w:t>
            </w:r>
            <w:r>
              <w:rPr>
                <w:color w:val="auto"/>
                <w:spacing w:val="-5"/>
                <w:sz w:val="21"/>
              </w:rPr>
              <w:t xml:space="preserve">    </w:t>
            </w:r>
            <w:r>
              <w:rPr>
                <w:color w:val="auto"/>
                <w:spacing w:val="-8"/>
                <w:sz w:val="21"/>
              </w:rPr>
              <w:t xml:space="preserve"> </w:t>
            </w:r>
            <w:r>
              <w:rPr>
                <w:color w:val="auto"/>
                <w:sz w:val="21"/>
              </w:rPr>
              <w:t xml:space="preserve"> </w:t>
            </w:r>
          </w:p>
          <w:p>
            <w:pPr>
              <w:pStyle w:val="45"/>
              <w:spacing w:before="132"/>
              <w:ind w:left="113"/>
              <w:rPr>
                <w:color w:val="auto"/>
                <w:sz w:val="21"/>
              </w:rPr>
            </w:pPr>
            <w:r>
              <w:rPr>
                <w:color w:val="auto"/>
                <w:spacing w:val="-10"/>
                <w:sz w:val="21"/>
              </w:rPr>
              <w:t>小写：</w:t>
            </w: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9" w:hRule="atLeast"/>
        </w:trPr>
        <w:tc>
          <w:tcPr>
            <w:tcW w:w="655" w:type="dxa"/>
            <w:tcBorders>
              <w:top w:val="single" w:color="000000" w:sz="6" w:space="0"/>
              <w:bottom w:val="single" w:color="000000" w:sz="6" w:space="0"/>
              <w:right w:val="single" w:color="000000" w:sz="6" w:space="0"/>
            </w:tcBorders>
          </w:tcPr>
          <w:p>
            <w:pPr>
              <w:pStyle w:val="45"/>
              <w:spacing w:before="4"/>
              <w:rPr>
                <w:color w:val="auto"/>
              </w:rPr>
            </w:pPr>
          </w:p>
          <w:p>
            <w:pPr>
              <w:pStyle w:val="45"/>
              <w:ind w:left="151" w:right="26"/>
              <w:jc w:val="center"/>
              <w:rPr>
                <w:color w:val="auto"/>
                <w:sz w:val="21"/>
              </w:rPr>
            </w:pPr>
            <w:r>
              <w:rPr>
                <w:color w:val="auto"/>
                <w:sz w:val="21"/>
              </w:rPr>
              <w:t xml:space="preserve">2.1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9"/>
              <w:rPr>
                <w:color w:val="auto"/>
                <w:sz w:val="25"/>
              </w:rPr>
            </w:pPr>
          </w:p>
          <w:p>
            <w:pPr>
              <w:pStyle w:val="45"/>
              <w:ind w:left="113" w:right="-29"/>
              <w:rPr>
                <w:color w:val="auto"/>
                <w:sz w:val="21"/>
              </w:rPr>
            </w:pPr>
            <w:r>
              <w:rPr>
                <w:color w:val="auto"/>
                <w:spacing w:val="-10"/>
                <w:sz w:val="21"/>
              </w:rPr>
              <w:t>施工部分投标报价（元</w:t>
            </w:r>
            <w:r>
              <w:rPr>
                <w:color w:val="auto"/>
                <w:spacing w:val="-39"/>
                <w:sz w:val="21"/>
              </w:rPr>
              <w:t>）</w:t>
            </w:r>
            <w:r>
              <w:rPr>
                <w:color w:val="auto"/>
                <w:sz w:val="21"/>
              </w:rPr>
              <w:t xml:space="preserve"> </w:t>
            </w:r>
          </w:p>
        </w:tc>
        <w:tc>
          <w:tcPr>
            <w:tcW w:w="6327" w:type="dxa"/>
            <w:gridSpan w:val="3"/>
            <w:tcBorders>
              <w:top w:val="single" w:color="000000" w:sz="6" w:space="0"/>
              <w:left w:val="single" w:color="000000" w:sz="6" w:space="0"/>
              <w:bottom w:val="single" w:color="000000" w:sz="6" w:space="0"/>
            </w:tcBorders>
          </w:tcPr>
          <w:p>
            <w:pPr>
              <w:pStyle w:val="45"/>
              <w:spacing w:before="18" w:line="400" w:lineRule="exact"/>
              <w:ind w:left="113" w:right="4974"/>
              <w:rPr>
                <w:color w:val="auto"/>
                <w:sz w:val="21"/>
              </w:rPr>
            </w:pPr>
            <w:r>
              <w:rPr>
                <w:color w:val="auto"/>
                <w:spacing w:val="-10"/>
                <w:sz w:val="21"/>
              </w:rPr>
              <w:t>大 写 ：   小写：</w:t>
            </w: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4" w:hRule="atLeast"/>
        </w:trPr>
        <w:tc>
          <w:tcPr>
            <w:tcW w:w="655" w:type="dxa"/>
            <w:tcBorders>
              <w:top w:val="single" w:color="000000" w:sz="6" w:space="0"/>
              <w:bottom w:val="single" w:color="000000" w:sz="6" w:space="0"/>
              <w:right w:val="single" w:color="000000" w:sz="6" w:space="0"/>
            </w:tcBorders>
          </w:tcPr>
          <w:p>
            <w:pPr>
              <w:pStyle w:val="45"/>
              <w:spacing w:before="12"/>
              <w:rPr>
                <w:color w:val="auto"/>
                <w:sz w:val="24"/>
              </w:rPr>
            </w:pPr>
          </w:p>
          <w:p>
            <w:pPr>
              <w:pStyle w:val="45"/>
              <w:ind w:left="151" w:right="26"/>
              <w:jc w:val="center"/>
              <w:rPr>
                <w:color w:val="auto"/>
                <w:sz w:val="21"/>
              </w:rPr>
            </w:pPr>
            <w:r>
              <w:rPr>
                <w:color w:val="auto"/>
                <w:sz w:val="21"/>
              </w:rPr>
              <w:t xml:space="preserve">2.2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2"/>
              <w:rPr>
                <w:color w:val="auto"/>
                <w:sz w:val="28"/>
              </w:rPr>
            </w:pPr>
          </w:p>
          <w:p>
            <w:pPr>
              <w:pStyle w:val="45"/>
              <w:ind w:left="113"/>
              <w:rPr>
                <w:color w:val="auto"/>
                <w:sz w:val="21"/>
              </w:rPr>
            </w:pPr>
            <w:r>
              <w:rPr>
                <w:color w:val="auto"/>
                <w:sz w:val="21"/>
              </w:rPr>
              <w:t xml:space="preserve">设计费投标报价 </w:t>
            </w:r>
          </w:p>
        </w:tc>
        <w:tc>
          <w:tcPr>
            <w:tcW w:w="6327" w:type="dxa"/>
            <w:gridSpan w:val="3"/>
            <w:tcBorders>
              <w:top w:val="single" w:color="000000" w:sz="6" w:space="0"/>
              <w:left w:val="single" w:color="000000" w:sz="6" w:space="0"/>
              <w:bottom w:val="single" w:color="000000" w:sz="6" w:space="0"/>
            </w:tcBorders>
          </w:tcPr>
          <w:p>
            <w:pPr>
              <w:pStyle w:val="45"/>
              <w:tabs>
                <w:tab w:val="left" w:pos="1426"/>
              </w:tabs>
              <w:spacing w:before="161"/>
              <w:ind w:left="113"/>
              <w:rPr>
                <w:color w:val="auto"/>
                <w:sz w:val="21"/>
              </w:rPr>
            </w:pPr>
            <w:r>
              <w:rPr>
                <w:color w:val="auto"/>
                <w:spacing w:val="-10"/>
                <w:sz w:val="21"/>
              </w:rPr>
              <w:t>总价大写</w:t>
            </w:r>
            <w:r>
              <w:rPr>
                <w:color w:val="auto"/>
                <w:sz w:val="21"/>
              </w:rPr>
              <w:t>：</w:t>
            </w:r>
            <w:r>
              <w:rPr>
                <w:color w:val="auto"/>
                <w:sz w:val="21"/>
              </w:rPr>
              <w:tab/>
            </w:r>
            <w:r>
              <w:rPr>
                <w:color w:val="auto"/>
                <w:spacing w:val="-10"/>
                <w:sz w:val="21"/>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2" w:hRule="atLeast"/>
        </w:trPr>
        <w:tc>
          <w:tcPr>
            <w:tcW w:w="655" w:type="dxa"/>
            <w:tcBorders>
              <w:top w:val="single" w:color="000000" w:sz="6" w:space="0"/>
              <w:bottom w:val="single" w:color="000000" w:sz="6" w:space="0"/>
              <w:right w:val="single" w:color="000000" w:sz="6" w:space="0"/>
            </w:tcBorders>
          </w:tcPr>
          <w:p>
            <w:pPr>
              <w:pStyle w:val="45"/>
              <w:spacing w:before="154"/>
              <w:ind w:left="151" w:right="26"/>
              <w:jc w:val="center"/>
              <w:rPr>
                <w:color w:val="auto"/>
                <w:sz w:val="21"/>
              </w:rPr>
            </w:pPr>
            <w:r>
              <w:rPr>
                <w:color w:val="auto"/>
                <w:sz w:val="21"/>
              </w:rPr>
              <w:t xml:space="preserve">3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154"/>
              <w:ind w:left="113"/>
              <w:rPr>
                <w:color w:val="auto"/>
                <w:sz w:val="21"/>
              </w:rPr>
            </w:pPr>
            <w:r>
              <w:rPr>
                <w:color w:val="auto"/>
                <w:sz w:val="21"/>
              </w:rPr>
              <w:t xml:space="preserve">工期 </w:t>
            </w:r>
          </w:p>
        </w:tc>
        <w:tc>
          <w:tcPr>
            <w:tcW w:w="6327" w:type="dxa"/>
            <w:gridSpan w:val="3"/>
            <w:tcBorders>
              <w:top w:val="single" w:color="000000" w:sz="6" w:space="0"/>
              <w:left w:val="single" w:color="000000" w:sz="6" w:space="0"/>
              <w:bottom w:val="single" w:color="000000" w:sz="6" w:space="0"/>
            </w:tcBorders>
          </w:tcPr>
          <w:p>
            <w:pPr>
              <w:pStyle w:val="45"/>
              <w:spacing w:before="154"/>
              <w:ind w:left="113"/>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655" w:type="dxa"/>
            <w:tcBorders>
              <w:top w:val="single" w:color="000000" w:sz="6" w:space="0"/>
              <w:bottom w:val="single" w:color="000000" w:sz="6" w:space="0"/>
              <w:right w:val="single" w:color="000000" w:sz="6" w:space="0"/>
            </w:tcBorders>
          </w:tcPr>
          <w:p>
            <w:pPr>
              <w:pStyle w:val="45"/>
              <w:spacing w:before="154"/>
              <w:ind w:left="151" w:right="26"/>
              <w:jc w:val="center"/>
              <w:rPr>
                <w:color w:val="auto"/>
                <w:sz w:val="21"/>
              </w:rPr>
            </w:pPr>
            <w:r>
              <w:rPr>
                <w:color w:val="auto"/>
                <w:sz w:val="21"/>
              </w:rPr>
              <w:t xml:space="preserve">4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154"/>
              <w:ind w:left="113"/>
              <w:rPr>
                <w:color w:val="auto"/>
                <w:sz w:val="21"/>
              </w:rPr>
            </w:pPr>
            <w:r>
              <w:rPr>
                <w:color w:val="auto"/>
                <w:sz w:val="21"/>
              </w:rPr>
              <w:t xml:space="preserve">保修承诺 </w:t>
            </w:r>
          </w:p>
        </w:tc>
        <w:tc>
          <w:tcPr>
            <w:tcW w:w="6327" w:type="dxa"/>
            <w:gridSpan w:val="3"/>
            <w:tcBorders>
              <w:top w:val="single" w:color="000000" w:sz="6" w:space="0"/>
              <w:left w:val="single" w:color="000000" w:sz="6" w:space="0"/>
              <w:bottom w:val="single" w:color="000000" w:sz="6" w:space="0"/>
            </w:tcBorders>
          </w:tcPr>
          <w:p>
            <w:pPr>
              <w:pStyle w:val="45"/>
              <w:spacing w:before="154"/>
              <w:ind w:left="113"/>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655" w:type="dxa"/>
            <w:tcBorders>
              <w:top w:val="single" w:color="000000" w:sz="6" w:space="0"/>
              <w:bottom w:val="single" w:color="000000" w:sz="6" w:space="0"/>
              <w:right w:val="single" w:color="000000" w:sz="6" w:space="0"/>
            </w:tcBorders>
          </w:tcPr>
          <w:p>
            <w:pPr>
              <w:pStyle w:val="45"/>
              <w:spacing w:before="155"/>
              <w:ind w:left="151" w:right="26"/>
              <w:jc w:val="center"/>
              <w:rPr>
                <w:color w:val="auto"/>
                <w:sz w:val="21"/>
              </w:rPr>
            </w:pPr>
            <w:r>
              <w:rPr>
                <w:color w:val="auto"/>
                <w:sz w:val="21"/>
              </w:rPr>
              <w:t xml:space="preserve">5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155"/>
              <w:ind w:left="113"/>
              <w:rPr>
                <w:color w:val="auto"/>
                <w:sz w:val="21"/>
              </w:rPr>
            </w:pPr>
            <w:r>
              <w:rPr>
                <w:color w:val="auto"/>
                <w:sz w:val="21"/>
              </w:rPr>
              <w:t xml:space="preserve">质量等级 </w:t>
            </w:r>
          </w:p>
        </w:tc>
        <w:tc>
          <w:tcPr>
            <w:tcW w:w="6327" w:type="dxa"/>
            <w:gridSpan w:val="3"/>
            <w:tcBorders>
              <w:top w:val="single" w:color="000000" w:sz="6" w:space="0"/>
              <w:left w:val="single" w:color="000000" w:sz="6" w:space="0"/>
              <w:bottom w:val="single" w:color="000000" w:sz="6" w:space="0"/>
            </w:tcBorders>
          </w:tcPr>
          <w:p>
            <w:pPr>
              <w:pStyle w:val="45"/>
              <w:spacing w:before="155"/>
              <w:ind w:left="113"/>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9" w:hRule="atLeast"/>
        </w:trPr>
        <w:tc>
          <w:tcPr>
            <w:tcW w:w="655" w:type="dxa"/>
            <w:tcBorders>
              <w:top w:val="single" w:color="000000" w:sz="6" w:space="0"/>
              <w:bottom w:val="single" w:color="000000" w:sz="6" w:space="0"/>
              <w:right w:val="single" w:color="000000" w:sz="6" w:space="0"/>
            </w:tcBorders>
          </w:tcPr>
          <w:p>
            <w:pPr>
              <w:pStyle w:val="45"/>
              <w:rPr>
                <w:color w:val="auto"/>
                <w:sz w:val="20"/>
              </w:rPr>
            </w:pPr>
          </w:p>
          <w:p>
            <w:pPr>
              <w:pStyle w:val="45"/>
              <w:spacing w:before="6"/>
              <w:rPr>
                <w:color w:val="auto"/>
                <w:sz w:val="14"/>
              </w:rPr>
            </w:pPr>
          </w:p>
          <w:p>
            <w:pPr>
              <w:pStyle w:val="45"/>
              <w:spacing w:before="1"/>
              <w:ind w:left="151" w:right="26"/>
              <w:jc w:val="center"/>
              <w:rPr>
                <w:color w:val="auto"/>
                <w:sz w:val="21"/>
              </w:rPr>
            </w:pPr>
            <w:r>
              <w:rPr>
                <w:color w:val="auto"/>
                <w:sz w:val="21"/>
              </w:rPr>
              <w:t xml:space="preserve">6 </w:t>
            </w:r>
          </w:p>
        </w:tc>
        <w:tc>
          <w:tcPr>
            <w:tcW w:w="2407" w:type="dxa"/>
            <w:tcBorders>
              <w:top w:val="single" w:color="000000" w:sz="6" w:space="0"/>
              <w:left w:val="single" w:color="000000" w:sz="6" w:space="0"/>
              <w:bottom w:val="single" w:color="000000" w:sz="6" w:space="0"/>
              <w:right w:val="single" w:color="000000" w:sz="6" w:space="0"/>
            </w:tcBorders>
          </w:tcPr>
          <w:p>
            <w:pPr>
              <w:pStyle w:val="45"/>
              <w:rPr>
                <w:color w:val="auto"/>
                <w:sz w:val="20"/>
              </w:rPr>
            </w:pPr>
          </w:p>
          <w:p>
            <w:pPr>
              <w:pStyle w:val="45"/>
              <w:spacing w:before="6"/>
              <w:rPr>
                <w:color w:val="auto"/>
                <w:sz w:val="14"/>
              </w:rPr>
            </w:pPr>
          </w:p>
          <w:p>
            <w:pPr>
              <w:pStyle w:val="45"/>
              <w:spacing w:before="1"/>
              <w:ind w:left="113"/>
              <w:rPr>
                <w:color w:val="auto"/>
                <w:sz w:val="21"/>
              </w:rPr>
            </w:pPr>
            <w:r>
              <w:rPr>
                <w:color w:val="auto"/>
                <w:sz w:val="21"/>
              </w:rPr>
              <w:t xml:space="preserve">项目经理姓名及资格 </w:t>
            </w:r>
          </w:p>
        </w:tc>
        <w:tc>
          <w:tcPr>
            <w:tcW w:w="2428" w:type="dxa"/>
            <w:tcBorders>
              <w:top w:val="single" w:color="000000" w:sz="6" w:space="0"/>
              <w:left w:val="single" w:color="000000" w:sz="6" w:space="0"/>
              <w:bottom w:val="single" w:color="000000" w:sz="6" w:space="0"/>
              <w:right w:val="single" w:color="000000" w:sz="6" w:space="0"/>
            </w:tcBorders>
          </w:tcPr>
          <w:p>
            <w:pPr>
              <w:pStyle w:val="45"/>
              <w:rPr>
                <w:color w:val="auto"/>
                <w:sz w:val="20"/>
              </w:rPr>
            </w:pPr>
          </w:p>
          <w:p>
            <w:pPr>
              <w:pStyle w:val="45"/>
              <w:spacing w:before="6"/>
              <w:rPr>
                <w:color w:val="auto"/>
                <w:sz w:val="14"/>
              </w:rPr>
            </w:pPr>
          </w:p>
          <w:p>
            <w:pPr>
              <w:pStyle w:val="45"/>
              <w:spacing w:before="1"/>
              <w:ind w:left="113"/>
              <w:rPr>
                <w:color w:val="auto"/>
                <w:sz w:val="21"/>
              </w:rPr>
            </w:pPr>
            <w:r>
              <w:rPr>
                <w:color w:val="auto"/>
                <w:sz w:val="21"/>
              </w:rPr>
              <w:t xml:space="preserve"> </w:t>
            </w:r>
          </w:p>
        </w:tc>
        <w:tc>
          <w:tcPr>
            <w:tcW w:w="1859" w:type="dxa"/>
            <w:tcBorders>
              <w:top w:val="single" w:color="000000" w:sz="6" w:space="0"/>
              <w:left w:val="single" w:color="000000" w:sz="6" w:space="0"/>
              <w:bottom w:val="single" w:color="000000" w:sz="6" w:space="0"/>
              <w:right w:val="single" w:color="000000" w:sz="6" w:space="0"/>
            </w:tcBorders>
          </w:tcPr>
          <w:p>
            <w:pPr>
              <w:pStyle w:val="45"/>
              <w:spacing w:before="154"/>
              <w:ind w:left="81" w:right="42"/>
              <w:jc w:val="center"/>
              <w:rPr>
                <w:color w:val="auto"/>
                <w:sz w:val="21"/>
              </w:rPr>
            </w:pPr>
            <w:r>
              <w:rPr>
                <w:color w:val="auto"/>
                <w:sz w:val="21"/>
              </w:rPr>
              <w:t>设计负责人姓名及</w:t>
            </w:r>
          </w:p>
          <w:p>
            <w:pPr>
              <w:pStyle w:val="45"/>
              <w:spacing w:before="10"/>
              <w:rPr>
                <w:color w:val="auto"/>
                <w:sz w:val="23"/>
              </w:rPr>
            </w:pPr>
          </w:p>
          <w:p>
            <w:pPr>
              <w:pStyle w:val="45"/>
              <w:ind w:left="175" w:right="42"/>
              <w:jc w:val="center"/>
              <w:rPr>
                <w:color w:val="auto"/>
                <w:sz w:val="21"/>
              </w:rPr>
            </w:pPr>
            <w:r>
              <w:rPr>
                <w:color w:val="auto"/>
                <w:sz w:val="21"/>
              </w:rPr>
              <w:t xml:space="preserve">资格 </w:t>
            </w:r>
          </w:p>
        </w:tc>
        <w:tc>
          <w:tcPr>
            <w:tcW w:w="2040" w:type="dxa"/>
            <w:tcBorders>
              <w:top w:val="single" w:color="000000" w:sz="6" w:space="0"/>
              <w:left w:val="single" w:color="000000" w:sz="6" w:space="0"/>
              <w:bottom w:val="single" w:color="000000" w:sz="6" w:space="0"/>
            </w:tcBorders>
          </w:tcPr>
          <w:p>
            <w:pPr>
              <w:pStyle w:val="45"/>
              <w:rPr>
                <w:color w:val="auto"/>
                <w:sz w:val="20"/>
              </w:rPr>
            </w:pPr>
          </w:p>
          <w:p>
            <w:pPr>
              <w:pStyle w:val="45"/>
              <w:spacing w:before="6"/>
              <w:rPr>
                <w:color w:val="auto"/>
                <w:sz w:val="14"/>
              </w:rPr>
            </w:pPr>
          </w:p>
          <w:p>
            <w:pPr>
              <w:pStyle w:val="45"/>
              <w:spacing w:before="1"/>
              <w:ind w:left="118"/>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6" w:hRule="atLeast"/>
        </w:trPr>
        <w:tc>
          <w:tcPr>
            <w:tcW w:w="655" w:type="dxa"/>
            <w:tcBorders>
              <w:top w:val="single" w:color="000000" w:sz="6" w:space="0"/>
              <w:bottom w:val="single" w:color="000000" w:sz="6" w:space="0"/>
              <w:right w:val="single" w:color="000000" w:sz="6" w:space="0"/>
            </w:tcBorders>
          </w:tcPr>
          <w:p>
            <w:pPr>
              <w:pStyle w:val="45"/>
              <w:rPr>
                <w:color w:val="auto"/>
                <w:sz w:val="20"/>
              </w:rPr>
            </w:pPr>
          </w:p>
          <w:p>
            <w:pPr>
              <w:pStyle w:val="45"/>
              <w:spacing w:before="4"/>
              <w:rPr>
                <w:color w:val="auto"/>
                <w:sz w:val="14"/>
              </w:rPr>
            </w:pPr>
          </w:p>
          <w:p>
            <w:pPr>
              <w:pStyle w:val="45"/>
              <w:ind w:left="151" w:right="26"/>
              <w:jc w:val="center"/>
              <w:rPr>
                <w:color w:val="auto"/>
                <w:sz w:val="21"/>
              </w:rPr>
            </w:pPr>
            <w:r>
              <w:rPr>
                <w:color w:val="auto"/>
                <w:sz w:val="21"/>
              </w:rPr>
              <w:t xml:space="preserve">7 </w:t>
            </w:r>
          </w:p>
        </w:tc>
        <w:tc>
          <w:tcPr>
            <w:tcW w:w="2407" w:type="dxa"/>
            <w:tcBorders>
              <w:top w:val="single" w:color="000000" w:sz="6" w:space="0"/>
              <w:left w:val="single" w:color="000000" w:sz="6" w:space="0"/>
              <w:bottom w:val="single" w:color="000000" w:sz="6" w:space="0"/>
              <w:right w:val="single" w:color="000000" w:sz="6" w:space="0"/>
            </w:tcBorders>
          </w:tcPr>
          <w:p>
            <w:pPr>
              <w:pStyle w:val="45"/>
              <w:spacing w:before="154"/>
              <w:ind w:left="113"/>
              <w:rPr>
                <w:color w:val="auto"/>
                <w:sz w:val="21"/>
              </w:rPr>
            </w:pPr>
            <w:r>
              <w:rPr>
                <w:color w:val="auto"/>
                <w:sz w:val="21"/>
              </w:rPr>
              <w:t>施工技术负责人姓名及</w:t>
            </w:r>
          </w:p>
          <w:p>
            <w:pPr>
              <w:pStyle w:val="45"/>
              <w:spacing w:before="10"/>
              <w:rPr>
                <w:color w:val="auto"/>
                <w:sz w:val="23"/>
              </w:rPr>
            </w:pPr>
          </w:p>
          <w:p>
            <w:pPr>
              <w:pStyle w:val="45"/>
              <w:ind w:left="113"/>
              <w:rPr>
                <w:color w:val="auto"/>
                <w:sz w:val="21"/>
              </w:rPr>
            </w:pPr>
            <w:r>
              <w:rPr>
                <w:color w:val="auto"/>
                <w:sz w:val="21"/>
              </w:rPr>
              <w:t xml:space="preserve">职称 </w:t>
            </w:r>
          </w:p>
        </w:tc>
        <w:tc>
          <w:tcPr>
            <w:tcW w:w="2428" w:type="dxa"/>
            <w:tcBorders>
              <w:top w:val="single" w:color="000000" w:sz="6" w:space="0"/>
              <w:left w:val="single" w:color="000000" w:sz="6" w:space="0"/>
              <w:bottom w:val="single" w:color="000000" w:sz="6" w:space="0"/>
              <w:right w:val="single" w:color="000000" w:sz="6" w:space="0"/>
            </w:tcBorders>
          </w:tcPr>
          <w:p>
            <w:pPr>
              <w:pStyle w:val="45"/>
              <w:rPr>
                <w:color w:val="auto"/>
                <w:sz w:val="20"/>
              </w:rPr>
            </w:pPr>
          </w:p>
          <w:p>
            <w:pPr>
              <w:pStyle w:val="45"/>
              <w:spacing w:before="4"/>
              <w:rPr>
                <w:color w:val="auto"/>
                <w:sz w:val="14"/>
              </w:rPr>
            </w:pPr>
          </w:p>
          <w:p>
            <w:pPr>
              <w:pStyle w:val="45"/>
              <w:ind w:left="113"/>
              <w:rPr>
                <w:color w:val="auto"/>
                <w:sz w:val="21"/>
              </w:rPr>
            </w:pPr>
            <w:r>
              <w:rPr>
                <w:color w:val="auto"/>
                <w:sz w:val="21"/>
              </w:rPr>
              <w:t xml:space="preserve"> </w:t>
            </w:r>
          </w:p>
        </w:tc>
        <w:tc>
          <w:tcPr>
            <w:tcW w:w="1859" w:type="dxa"/>
            <w:tcBorders>
              <w:top w:val="single" w:color="000000" w:sz="6" w:space="0"/>
              <w:left w:val="single" w:color="000000" w:sz="6" w:space="0"/>
              <w:bottom w:val="single" w:color="000000" w:sz="6" w:space="0"/>
              <w:right w:val="single" w:color="000000" w:sz="6" w:space="0"/>
            </w:tcBorders>
          </w:tcPr>
          <w:p>
            <w:pPr>
              <w:pStyle w:val="45"/>
              <w:rPr>
                <w:color w:val="auto"/>
                <w:sz w:val="20"/>
              </w:rPr>
            </w:pPr>
          </w:p>
          <w:p>
            <w:pPr>
              <w:pStyle w:val="45"/>
              <w:spacing w:before="4"/>
              <w:rPr>
                <w:color w:val="auto"/>
                <w:sz w:val="14"/>
              </w:rPr>
            </w:pPr>
          </w:p>
          <w:p>
            <w:pPr>
              <w:pStyle w:val="45"/>
              <w:ind w:left="133"/>
              <w:jc w:val="center"/>
              <w:rPr>
                <w:color w:val="auto"/>
                <w:sz w:val="21"/>
              </w:rPr>
            </w:pPr>
            <w:r>
              <w:rPr>
                <w:color w:val="auto"/>
                <w:sz w:val="21"/>
              </w:rPr>
              <w:t xml:space="preserve"> </w:t>
            </w:r>
          </w:p>
        </w:tc>
        <w:tc>
          <w:tcPr>
            <w:tcW w:w="2040" w:type="dxa"/>
            <w:tcBorders>
              <w:top w:val="single" w:color="000000" w:sz="6" w:space="0"/>
              <w:left w:val="single" w:color="000000" w:sz="6" w:space="0"/>
              <w:bottom w:val="single" w:color="000000" w:sz="6" w:space="0"/>
            </w:tcBorders>
          </w:tcPr>
          <w:p>
            <w:pPr>
              <w:pStyle w:val="45"/>
              <w:rPr>
                <w:color w:val="auto"/>
                <w:sz w:val="20"/>
              </w:rPr>
            </w:pPr>
          </w:p>
          <w:p>
            <w:pPr>
              <w:pStyle w:val="45"/>
              <w:spacing w:before="4"/>
              <w:rPr>
                <w:color w:val="auto"/>
                <w:sz w:val="14"/>
              </w:rPr>
            </w:pPr>
          </w:p>
          <w:p>
            <w:pPr>
              <w:pStyle w:val="45"/>
              <w:ind w:left="118"/>
              <w:rPr>
                <w:color w:val="auto"/>
                <w:sz w:val="21"/>
              </w:rPr>
            </w:pPr>
            <w:r>
              <w:rPr>
                <w:color w:val="auto"/>
                <w:sz w:val="21"/>
              </w:rPr>
              <w:t xml:space="preserve"> </w:t>
            </w:r>
          </w:p>
        </w:tc>
      </w:tr>
    </w:tbl>
    <w:p>
      <w:pPr>
        <w:pStyle w:val="8"/>
        <w:spacing w:before="7"/>
        <w:rPr>
          <w:color w:val="auto"/>
          <w:sz w:val="17"/>
        </w:rPr>
      </w:pPr>
    </w:p>
    <w:p>
      <w:pPr>
        <w:pStyle w:val="8"/>
        <w:spacing w:before="71"/>
        <w:ind w:left="1072"/>
        <w:rPr>
          <w:b/>
          <w:color w:val="auto"/>
        </w:rPr>
      </w:pPr>
      <w:r>
        <w:rPr>
          <w:color w:val="auto"/>
        </w:rPr>
        <w:t>投标人（盖章）：</w:t>
      </w:r>
      <w:r>
        <w:rPr>
          <w:b/>
          <w:color w:val="auto"/>
          <w:w w:val="99"/>
        </w:rPr>
        <w:t xml:space="preserve"> </w:t>
      </w:r>
    </w:p>
    <w:p>
      <w:pPr>
        <w:pStyle w:val="8"/>
        <w:rPr>
          <w:b/>
          <w:color w:val="auto"/>
          <w:sz w:val="20"/>
        </w:rPr>
      </w:pPr>
    </w:p>
    <w:p>
      <w:pPr>
        <w:pStyle w:val="8"/>
        <w:spacing w:before="4"/>
        <w:rPr>
          <w:b/>
          <w:color w:val="auto"/>
          <w:sz w:val="26"/>
        </w:rPr>
      </w:pPr>
    </w:p>
    <w:p>
      <w:pPr>
        <w:pStyle w:val="8"/>
        <w:ind w:left="1072"/>
        <w:rPr>
          <w:b/>
          <w:color w:val="auto"/>
        </w:rPr>
      </w:pPr>
      <w:r>
        <w:rPr>
          <w:color w:val="auto"/>
        </w:rPr>
        <w:t>法定代表人或委托代理人（签字或盖章）：</w:t>
      </w:r>
      <w:r>
        <w:rPr>
          <w:b/>
          <w:color w:val="auto"/>
          <w:w w:val="99"/>
        </w:rPr>
        <w:t xml:space="preserve"> </w:t>
      </w:r>
    </w:p>
    <w:p>
      <w:pPr>
        <w:pStyle w:val="8"/>
        <w:rPr>
          <w:b/>
          <w:color w:val="auto"/>
          <w:sz w:val="20"/>
        </w:rPr>
      </w:pPr>
    </w:p>
    <w:p>
      <w:pPr>
        <w:pStyle w:val="8"/>
        <w:spacing w:before="3"/>
        <w:rPr>
          <w:b/>
          <w:color w:val="auto"/>
          <w:sz w:val="26"/>
        </w:rPr>
      </w:pPr>
    </w:p>
    <w:p>
      <w:pPr>
        <w:pStyle w:val="8"/>
        <w:ind w:left="1072"/>
        <w:rPr>
          <w:b/>
          <w:color w:val="auto"/>
        </w:rPr>
      </w:pPr>
      <w:r>
        <w:rPr>
          <w:color w:val="auto"/>
        </w:rPr>
        <w:t>日期：年月日</w:t>
      </w:r>
      <w:r>
        <w:rPr>
          <w:b/>
          <w:color w:val="auto"/>
          <w:w w:val="99"/>
        </w:rPr>
        <w:t xml:space="preserve"> </w:t>
      </w:r>
    </w:p>
    <w:p>
      <w:pPr>
        <w:rPr>
          <w:color w:val="auto"/>
        </w:rPr>
        <w:sectPr>
          <w:pgSz w:w="11910" w:h="16840"/>
          <w:pgMar w:top="1580" w:right="700" w:bottom="1040" w:left="920" w:header="0" w:footer="854" w:gutter="0"/>
          <w:cols w:space="720" w:num="1"/>
        </w:sectPr>
      </w:pPr>
    </w:p>
    <w:p>
      <w:pPr>
        <w:pStyle w:val="8"/>
        <w:spacing w:before="8"/>
        <w:rPr>
          <w:b/>
          <w:color w:val="auto"/>
          <w:sz w:val="29"/>
        </w:rPr>
      </w:pPr>
    </w:p>
    <w:p>
      <w:pPr>
        <w:spacing w:before="54"/>
        <w:ind w:left="621" w:right="883"/>
        <w:jc w:val="center"/>
        <w:rPr>
          <w:b/>
          <w:color w:val="auto"/>
          <w:sz w:val="32"/>
        </w:rPr>
      </w:pPr>
      <w:bookmarkStart w:id="327" w:name="二、法定代表人身份证明"/>
      <w:bookmarkEnd w:id="327"/>
      <w:r>
        <w:rPr>
          <w:b/>
          <w:color w:val="auto"/>
          <w:sz w:val="32"/>
        </w:rPr>
        <w:t>二、法定代表人身份证明</w:t>
      </w:r>
    </w:p>
    <w:p>
      <w:pPr>
        <w:pStyle w:val="8"/>
        <w:rPr>
          <w:b/>
          <w:color w:val="auto"/>
          <w:sz w:val="20"/>
        </w:rPr>
      </w:pPr>
    </w:p>
    <w:p>
      <w:pPr>
        <w:pStyle w:val="8"/>
        <w:spacing w:before="5"/>
        <w:rPr>
          <w:b/>
          <w:color w:val="auto"/>
          <w:sz w:val="24"/>
        </w:rPr>
      </w:pPr>
    </w:p>
    <w:p>
      <w:pPr>
        <w:pStyle w:val="8"/>
        <w:spacing w:before="72" w:line="511" w:lineRule="auto"/>
        <w:ind w:left="1089" w:right="7880"/>
        <w:rPr>
          <w:color w:val="auto"/>
        </w:rPr>
      </w:pPr>
      <w:r>
        <w:rPr>
          <w:color w:val="auto"/>
          <w:spacing w:val="-10"/>
        </w:rPr>
        <w:t>投标人名称： 单位性质：</w:t>
      </w:r>
      <w:r>
        <w:rPr>
          <w:color w:val="auto"/>
        </w:rPr>
        <w:t xml:space="preserve"> </w:t>
      </w:r>
    </w:p>
    <w:p>
      <w:pPr>
        <w:pStyle w:val="8"/>
        <w:spacing w:before="1" w:line="511" w:lineRule="auto"/>
        <w:ind w:left="1089" w:right="7474"/>
        <w:rPr>
          <w:color w:val="auto"/>
        </w:rPr>
      </w:pPr>
      <w:r>
        <w:rPr>
          <w:color w:val="auto"/>
          <w:spacing w:val="-11"/>
        </w:rPr>
        <w:t>成立时间：年月日</w:t>
      </w:r>
      <w:r>
        <w:rPr>
          <w:color w:val="auto"/>
          <w:spacing w:val="-10"/>
        </w:rPr>
        <w:t>经营期限：</w:t>
      </w:r>
      <w:r>
        <w:rPr>
          <w:color w:val="auto"/>
        </w:rPr>
        <w:t xml:space="preserve"> </w:t>
      </w:r>
    </w:p>
    <w:p>
      <w:pPr>
        <w:pStyle w:val="8"/>
        <w:spacing w:before="4"/>
        <w:ind w:left="1089"/>
        <w:rPr>
          <w:color w:val="auto"/>
        </w:rPr>
      </w:pPr>
      <w:r>
        <w:rPr>
          <w:color w:val="auto"/>
        </w:rPr>
        <w:t xml:space="preserve">姓名：性别：年龄：职务： </w:t>
      </w:r>
    </w:p>
    <w:p>
      <w:pPr>
        <w:pStyle w:val="8"/>
        <w:spacing w:before="10"/>
        <w:rPr>
          <w:color w:val="auto"/>
          <w:sz w:val="23"/>
        </w:rPr>
      </w:pPr>
    </w:p>
    <w:p>
      <w:pPr>
        <w:pStyle w:val="8"/>
        <w:spacing w:line="511" w:lineRule="auto"/>
        <w:ind w:left="1089" w:right="6029"/>
        <w:rPr>
          <w:color w:val="auto"/>
        </w:rPr>
      </w:pPr>
      <w:r>
        <w:rPr>
          <w:color w:val="auto"/>
        </w:rPr>
        <w:t xml:space="preserve">系（投标人名称）的法定代表人。特此证明。 </w:t>
      </w:r>
    </w:p>
    <w:p>
      <w:pPr>
        <w:pStyle w:val="8"/>
        <w:spacing w:before="1"/>
        <w:ind w:left="1072"/>
        <w:rPr>
          <w:color w:val="auto"/>
        </w:rPr>
      </w:pPr>
      <w:r>
        <w:rPr>
          <w:color w:val="auto"/>
        </w:rPr>
        <w:t xml:space="preserve">附：法定代表人身份证明 </w:t>
      </w:r>
    </w:p>
    <w:p>
      <w:pPr>
        <w:pStyle w:val="8"/>
        <w:rPr>
          <w:color w:val="auto"/>
          <w:sz w:val="20"/>
        </w:rPr>
      </w:pPr>
    </w:p>
    <w:p>
      <w:pPr>
        <w:pStyle w:val="8"/>
        <w:rPr>
          <w:color w:val="auto"/>
          <w:sz w:val="20"/>
        </w:rPr>
      </w:pPr>
    </w:p>
    <w:p>
      <w:pPr>
        <w:pStyle w:val="8"/>
        <w:spacing w:before="6"/>
        <w:rPr>
          <w:color w:val="auto"/>
          <w:sz w:val="16"/>
        </w:rPr>
      </w:pPr>
    </w:p>
    <w:tbl>
      <w:tblPr>
        <w:tblStyle w:val="34"/>
        <w:tblW w:w="8309" w:type="dxa"/>
        <w:tblInd w:w="68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1"/>
        <w:gridCol w:w="40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6" w:hRule="atLeast"/>
        </w:trPr>
        <w:tc>
          <w:tcPr>
            <w:tcW w:w="4261" w:type="dxa"/>
            <w:tcBorders>
              <w:right w:val="single" w:color="000000" w:sz="4" w:space="0"/>
            </w:tcBorders>
          </w:tcPr>
          <w:p>
            <w:pPr>
              <w:pStyle w:val="45"/>
              <w:rPr>
                <w:color w:val="auto"/>
                <w:sz w:val="20"/>
              </w:rPr>
            </w:pPr>
          </w:p>
          <w:p>
            <w:pPr>
              <w:pStyle w:val="45"/>
              <w:rPr>
                <w:color w:val="auto"/>
                <w:sz w:val="20"/>
              </w:rPr>
            </w:pPr>
          </w:p>
          <w:p>
            <w:pPr>
              <w:pStyle w:val="45"/>
              <w:rPr>
                <w:color w:val="auto"/>
                <w:sz w:val="20"/>
              </w:rPr>
            </w:pPr>
          </w:p>
          <w:p>
            <w:pPr>
              <w:pStyle w:val="45"/>
              <w:spacing w:before="1"/>
              <w:rPr>
                <w:color w:val="auto"/>
                <w:sz w:val="28"/>
              </w:rPr>
            </w:pPr>
          </w:p>
          <w:p>
            <w:pPr>
              <w:pStyle w:val="45"/>
              <w:ind w:left="623"/>
              <w:rPr>
                <w:color w:val="auto"/>
                <w:sz w:val="21"/>
              </w:rPr>
            </w:pPr>
            <w:r>
              <w:rPr>
                <w:color w:val="auto"/>
                <w:sz w:val="21"/>
              </w:rPr>
              <w:t xml:space="preserve">法定代表人二代身份证复印件（正面） </w:t>
            </w:r>
          </w:p>
        </w:tc>
        <w:tc>
          <w:tcPr>
            <w:tcW w:w="4048" w:type="dxa"/>
            <w:tcBorders>
              <w:left w:val="single" w:color="000000" w:sz="4" w:space="0"/>
            </w:tcBorders>
          </w:tcPr>
          <w:p>
            <w:pPr>
              <w:pStyle w:val="45"/>
              <w:rPr>
                <w:color w:val="auto"/>
                <w:sz w:val="20"/>
              </w:rPr>
            </w:pPr>
          </w:p>
          <w:p>
            <w:pPr>
              <w:pStyle w:val="45"/>
              <w:rPr>
                <w:color w:val="auto"/>
                <w:sz w:val="20"/>
              </w:rPr>
            </w:pPr>
          </w:p>
          <w:p>
            <w:pPr>
              <w:pStyle w:val="45"/>
              <w:rPr>
                <w:color w:val="auto"/>
                <w:sz w:val="20"/>
              </w:rPr>
            </w:pPr>
          </w:p>
          <w:p>
            <w:pPr>
              <w:pStyle w:val="45"/>
              <w:spacing w:before="1"/>
              <w:rPr>
                <w:color w:val="auto"/>
                <w:sz w:val="28"/>
              </w:rPr>
            </w:pPr>
          </w:p>
          <w:p>
            <w:pPr>
              <w:pStyle w:val="45"/>
              <w:ind w:left="537" w:right="-29"/>
              <w:rPr>
                <w:color w:val="auto"/>
                <w:sz w:val="21"/>
              </w:rPr>
            </w:pPr>
            <w:r>
              <w:rPr>
                <w:color w:val="auto"/>
                <w:spacing w:val="-10"/>
                <w:sz w:val="21"/>
              </w:rPr>
              <w:t>法定代表人二代身份证复印件（反面</w:t>
            </w:r>
            <w:r>
              <w:rPr>
                <w:color w:val="auto"/>
                <w:spacing w:val="-30"/>
                <w:sz w:val="21"/>
              </w:rPr>
              <w:t>）</w:t>
            </w:r>
            <w:r>
              <w:rPr>
                <w:color w:val="auto"/>
                <w:sz w:val="21"/>
              </w:rPr>
              <w:t xml:space="preserve"> </w:t>
            </w:r>
          </w:p>
        </w:tc>
      </w:tr>
    </w:tbl>
    <w:p>
      <w:pPr>
        <w:pStyle w:val="8"/>
        <w:rPr>
          <w:color w:val="auto"/>
          <w:sz w:val="20"/>
        </w:rPr>
      </w:pPr>
    </w:p>
    <w:p>
      <w:pPr>
        <w:pStyle w:val="8"/>
        <w:rPr>
          <w:color w:val="auto"/>
          <w:sz w:val="20"/>
        </w:rPr>
      </w:pPr>
    </w:p>
    <w:p>
      <w:pPr>
        <w:pStyle w:val="8"/>
        <w:rPr>
          <w:color w:val="auto"/>
          <w:sz w:val="17"/>
        </w:rPr>
      </w:pPr>
    </w:p>
    <w:p>
      <w:pPr>
        <w:pStyle w:val="8"/>
        <w:ind w:left="1089"/>
        <w:rPr>
          <w:color w:val="auto"/>
        </w:rPr>
      </w:pPr>
      <w:r>
        <w:rPr>
          <w:color w:val="auto"/>
        </w:rPr>
        <w:t xml:space="preserve">投标人：（盖单位章） </w:t>
      </w:r>
    </w:p>
    <w:p>
      <w:pPr>
        <w:pStyle w:val="8"/>
        <w:rPr>
          <w:color w:val="auto"/>
          <w:sz w:val="20"/>
        </w:rPr>
      </w:pPr>
    </w:p>
    <w:p>
      <w:pPr>
        <w:pStyle w:val="8"/>
        <w:rPr>
          <w:color w:val="auto"/>
          <w:sz w:val="20"/>
        </w:rPr>
      </w:pPr>
    </w:p>
    <w:p>
      <w:pPr>
        <w:pStyle w:val="8"/>
        <w:rPr>
          <w:color w:val="auto"/>
          <w:sz w:val="23"/>
        </w:rPr>
      </w:pPr>
    </w:p>
    <w:p>
      <w:pPr>
        <w:pStyle w:val="8"/>
        <w:spacing w:before="72"/>
        <w:ind w:left="1072"/>
        <w:rPr>
          <w:color w:val="auto"/>
        </w:rPr>
      </w:pPr>
      <w:r>
        <w:rPr>
          <w:color w:val="auto"/>
        </w:rPr>
        <w:t xml:space="preserve">年月日 </w:t>
      </w:r>
    </w:p>
    <w:p>
      <w:pPr>
        <w:pStyle w:val="8"/>
        <w:spacing w:before="12"/>
        <w:rPr>
          <w:color w:val="auto"/>
          <w:sz w:val="23"/>
        </w:rPr>
      </w:pPr>
    </w:p>
    <w:p>
      <w:pPr>
        <w:pStyle w:val="8"/>
        <w:ind w:left="1089"/>
        <w:rPr>
          <w:color w:val="auto"/>
        </w:rPr>
      </w:pPr>
      <w:r>
        <w:rPr>
          <w:color w:val="auto"/>
        </w:rPr>
        <w:t xml:space="preserve"> </w:t>
      </w:r>
    </w:p>
    <w:p>
      <w:pPr>
        <w:rPr>
          <w:color w:val="auto"/>
        </w:rPr>
        <w:sectPr>
          <w:pgSz w:w="11910" w:h="16840"/>
          <w:pgMar w:top="1580" w:right="700" w:bottom="1040" w:left="920" w:header="0" w:footer="854" w:gutter="0"/>
          <w:cols w:space="720" w:num="1"/>
        </w:sectPr>
      </w:pPr>
    </w:p>
    <w:p>
      <w:pPr>
        <w:pStyle w:val="8"/>
        <w:rPr>
          <w:color w:val="auto"/>
          <w:sz w:val="20"/>
        </w:rPr>
      </w:pPr>
    </w:p>
    <w:p>
      <w:pPr>
        <w:pStyle w:val="8"/>
        <w:spacing w:before="8"/>
        <w:rPr>
          <w:color w:val="auto"/>
          <w:sz w:val="18"/>
        </w:rPr>
      </w:pPr>
    </w:p>
    <w:p>
      <w:pPr>
        <w:pStyle w:val="37"/>
        <w:spacing w:before="54"/>
        <w:ind w:left="622" w:right="883"/>
        <w:jc w:val="center"/>
        <w:rPr>
          <w:color w:val="auto"/>
        </w:rPr>
      </w:pPr>
      <w:bookmarkStart w:id="328" w:name="二、授权委托书"/>
      <w:bookmarkEnd w:id="328"/>
      <w:r>
        <w:rPr>
          <w:color w:val="auto"/>
        </w:rPr>
        <w:t>二、授权委托书</w:t>
      </w:r>
    </w:p>
    <w:p>
      <w:pPr>
        <w:pStyle w:val="8"/>
        <w:spacing w:before="12"/>
        <w:rPr>
          <w:b/>
          <w:color w:val="auto"/>
          <w:sz w:val="38"/>
        </w:rPr>
      </w:pPr>
    </w:p>
    <w:p>
      <w:pPr>
        <w:pStyle w:val="8"/>
        <w:tabs>
          <w:tab w:val="left" w:pos="2169"/>
          <w:tab w:val="left" w:pos="3955"/>
          <w:tab w:val="left" w:pos="8151"/>
        </w:tabs>
        <w:ind w:left="1072"/>
        <w:rPr>
          <w:color w:val="auto"/>
        </w:rPr>
      </w:pPr>
      <w:r>
        <w:rPr>
          <w:color w:val="auto"/>
          <w:spacing w:val="-10"/>
        </w:rPr>
        <w:t>本</w:t>
      </w:r>
      <w:r>
        <w:rPr>
          <w:color w:val="auto"/>
          <w:spacing w:val="-8"/>
        </w:rPr>
        <w:t>人</w:t>
      </w:r>
      <w:r>
        <w:rPr>
          <w:color w:val="auto"/>
          <w:spacing w:val="-8"/>
          <w:u w:val="single"/>
        </w:rPr>
        <w:t xml:space="preserve"> </w:t>
      </w:r>
      <w:r>
        <w:rPr>
          <w:color w:val="auto"/>
          <w:spacing w:val="-8"/>
          <w:u w:val="single"/>
        </w:rPr>
        <w:tab/>
      </w:r>
      <w:r>
        <w:rPr>
          <w:color w:val="auto"/>
          <w:spacing w:val="-10"/>
        </w:rPr>
        <w:t>（姓名</w:t>
      </w:r>
      <w:r>
        <w:rPr>
          <w:color w:val="auto"/>
          <w:spacing w:val="-25"/>
        </w:rPr>
        <w:t>）</w:t>
      </w:r>
      <w:r>
        <w:rPr>
          <w:color w:val="auto"/>
          <w:spacing w:val="-7"/>
        </w:rPr>
        <w:t>系</w:t>
      </w:r>
      <w:r>
        <w:rPr>
          <w:color w:val="auto"/>
          <w:spacing w:val="-7"/>
          <w:u w:val="single"/>
        </w:rPr>
        <w:t xml:space="preserve"> </w:t>
      </w:r>
      <w:r>
        <w:rPr>
          <w:color w:val="auto"/>
          <w:spacing w:val="-7"/>
          <w:u w:val="single"/>
        </w:rPr>
        <w:tab/>
      </w:r>
      <w:r>
        <w:rPr>
          <w:color w:val="auto"/>
          <w:spacing w:val="-10"/>
        </w:rPr>
        <w:t>（投</w:t>
      </w:r>
      <w:r>
        <w:rPr>
          <w:color w:val="auto"/>
          <w:spacing w:val="-8"/>
        </w:rPr>
        <w:t>标</w:t>
      </w:r>
      <w:r>
        <w:rPr>
          <w:color w:val="auto"/>
          <w:spacing w:val="-10"/>
        </w:rPr>
        <w:t>人名称</w:t>
      </w:r>
      <w:r>
        <w:rPr>
          <w:color w:val="auto"/>
          <w:spacing w:val="-25"/>
        </w:rPr>
        <w:t>）</w:t>
      </w:r>
      <w:r>
        <w:rPr>
          <w:color w:val="auto"/>
          <w:spacing w:val="-10"/>
        </w:rPr>
        <w:t>的法定代表人</w:t>
      </w:r>
      <w:r>
        <w:rPr>
          <w:color w:val="auto"/>
          <w:spacing w:val="-25"/>
        </w:rPr>
        <w:t>，</w:t>
      </w:r>
      <w:r>
        <w:rPr>
          <w:color w:val="auto"/>
          <w:spacing w:val="-8"/>
        </w:rPr>
        <w:t>现</w:t>
      </w:r>
      <w:r>
        <w:rPr>
          <w:color w:val="auto"/>
          <w:spacing w:val="-10"/>
        </w:rPr>
        <w:t>委</w:t>
      </w:r>
      <w:r>
        <w:rPr>
          <w:color w:val="auto"/>
          <w:spacing w:val="-8"/>
        </w:rPr>
        <w:t>托</w:t>
      </w:r>
      <w:r>
        <w:rPr>
          <w:color w:val="auto"/>
          <w:spacing w:val="-8"/>
          <w:u w:val="single"/>
        </w:rPr>
        <w:t xml:space="preserve"> </w:t>
      </w:r>
      <w:r>
        <w:rPr>
          <w:color w:val="auto"/>
          <w:spacing w:val="-8"/>
          <w:u w:val="single"/>
        </w:rPr>
        <w:tab/>
      </w:r>
      <w:r>
        <w:rPr>
          <w:color w:val="auto"/>
          <w:spacing w:val="-10"/>
        </w:rPr>
        <w:t>（姓名</w:t>
      </w:r>
      <w:r>
        <w:rPr>
          <w:color w:val="auto"/>
          <w:spacing w:val="-25"/>
        </w:rPr>
        <w:t>）</w:t>
      </w:r>
      <w:r>
        <w:rPr>
          <w:color w:val="auto"/>
          <w:spacing w:val="-10"/>
        </w:rPr>
        <w:t>为</w:t>
      </w:r>
      <w:r>
        <w:rPr>
          <w:color w:val="auto"/>
        </w:rPr>
        <w:t>我</w:t>
      </w:r>
    </w:p>
    <w:p>
      <w:pPr>
        <w:pStyle w:val="8"/>
        <w:spacing w:before="9"/>
        <w:rPr>
          <w:color w:val="auto"/>
          <w:sz w:val="17"/>
        </w:rPr>
      </w:pPr>
    </w:p>
    <w:p>
      <w:pPr>
        <w:pStyle w:val="8"/>
        <w:tabs>
          <w:tab w:val="left" w:pos="8945"/>
        </w:tabs>
        <w:spacing w:before="78"/>
        <w:ind w:left="669"/>
        <w:rPr>
          <w:color w:val="auto"/>
        </w:rPr>
      </w:pPr>
      <w:r>
        <w:rPr>
          <w:color w:val="auto"/>
          <w:spacing w:val="-10"/>
        </w:rPr>
        <w:t>方代理人</w:t>
      </w:r>
      <w:r>
        <w:rPr>
          <w:color w:val="auto"/>
          <w:spacing w:val="-65"/>
        </w:rPr>
        <w:t>。</w:t>
      </w:r>
      <w:r>
        <w:rPr>
          <w:color w:val="auto"/>
          <w:spacing w:val="-10"/>
        </w:rPr>
        <w:t>代理人根</w:t>
      </w:r>
      <w:r>
        <w:rPr>
          <w:color w:val="auto"/>
          <w:spacing w:val="-8"/>
        </w:rPr>
        <w:t>据</w:t>
      </w:r>
      <w:r>
        <w:rPr>
          <w:color w:val="auto"/>
          <w:spacing w:val="-10"/>
        </w:rPr>
        <w:t>授权</w:t>
      </w:r>
      <w:r>
        <w:rPr>
          <w:color w:val="auto"/>
          <w:spacing w:val="-65"/>
        </w:rPr>
        <w:t>，</w:t>
      </w:r>
      <w:r>
        <w:rPr>
          <w:color w:val="auto"/>
          <w:spacing w:val="-10"/>
        </w:rPr>
        <w:t>以我方名义签署</w:t>
      </w:r>
      <w:r>
        <w:rPr>
          <w:color w:val="auto"/>
          <w:spacing w:val="-65"/>
        </w:rPr>
        <w:t>、</w:t>
      </w:r>
      <w:r>
        <w:rPr>
          <w:color w:val="auto"/>
          <w:spacing w:val="-10"/>
        </w:rPr>
        <w:t>澄</w:t>
      </w:r>
      <w:r>
        <w:rPr>
          <w:color w:val="auto"/>
          <w:spacing w:val="-11"/>
        </w:rPr>
        <w:t>清</w:t>
      </w:r>
      <w:r>
        <w:rPr>
          <w:color w:val="auto"/>
          <w:spacing w:val="-65"/>
        </w:rPr>
        <w:t>、</w:t>
      </w:r>
      <w:r>
        <w:rPr>
          <w:color w:val="auto"/>
          <w:spacing w:val="-10"/>
        </w:rPr>
        <w:t>说明</w:t>
      </w:r>
      <w:r>
        <w:rPr>
          <w:color w:val="auto"/>
          <w:spacing w:val="-65"/>
        </w:rPr>
        <w:t>、</w:t>
      </w:r>
      <w:r>
        <w:rPr>
          <w:color w:val="auto"/>
          <w:spacing w:val="-10"/>
        </w:rPr>
        <w:t>补正</w:t>
      </w:r>
      <w:r>
        <w:rPr>
          <w:color w:val="auto"/>
          <w:spacing w:val="-65"/>
        </w:rPr>
        <w:t>、</w:t>
      </w:r>
      <w:r>
        <w:rPr>
          <w:color w:val="auto"/>
          <w:spacing w:val="-10"/>
        </w:rPr>
        <w:t>递交</w:t>
      </w:r>
      <w:r>
        <w:rPr>
          <w:color w:val="auto"/>
          <w:spacing w:val="-65"/>
        </w:rPr>
        <w:t>、</w:t>
      </w:r>
      <w:r>
        <w:rPr>
          <w:color w:val="auto"/>
          <w:spacing w:val="-10"/>
        </w:rPr>
        <w:t>撤回</w:t>
      </w:r>
      <w:r>
        <w:rPr>
          <w:color w:val="auto"/>
          <w:spacing w:val="-65"/>
        </w:rPr>
        <w:t>、</w:t>
      </w:r>
      <w:r>
        <w:rPr>
          <w:color w:val="auto"/>
          <w:spacing w:val="-10"/>
        </w:rPr>
        <w:t>修改</w:t>
      </w:r>
      <w:r>
        <w:rPr>
          <w:color w:val="auto"/>
          <w:spacing w:val="-10"/>
          <w:u w:val="single"/>
        </w:rPr>
        <w:t xml:space="preserve"> </w:t>
      </w:r>
      <w:r>
        <w:rPr>
          <w:color w:val="auto"/>
          <w:spacing w:val="-10"/>
          <w:u w:val="single"/>
        </w:rPr>
        <w:tab/>
      </w:r>
      <w:r>
        <w:rPr>
          <w:color w:val="auto"/>
          <w:spacing w:val="-10"/>
          <w:u w:val="single"/>
        </w:rPr>
        <w:t>（</w:t>
      </w:r>
      <w:r>
        <w:rPr>
          <w:color w:val="auto"/>
          <w:spacing w:val="-10"/>
        </w:rPr>
        <w:t>项</w:t>
      </w:r>
    </w:p>
    <w:p>
      <w:pPr>
        <w:pStyle w:val="8"/>
        <w:spacing w:before="2"/>
        <w:rPr>
          <w:color w:val="auto"/>
          <w:sz w:val="18"/>
        </w:rPr>
      </w:pPr>
    </w:p>
    <w:p>
      <w:pPr>
        <w:pStyle w:val="8"/>
        <w:tabs>
          <w:tab w:val="left" w:pos="3393"/>
        </w:tabs>
        <w:spacing w:before="72" w:line="511" w:lineRule="auto"/>
        <w:ind w:left="1072" w:right="1732" w:hanging="404"/>
        <w:rPr>
          <w:color w:val="auto"/>
        </w:rPr>
      </w:pPr>
      <w:r>
        <w:rPr>
          <w:color w:val="auto"/>
          <w:spacing w:val="-10"/>
        </w:rPr>
        <w:t>目名称）设</w:t>
      </w:r>
      <w:r>
        <w:rPr>
          <w:color w:val="auto"/>
          <w:spacing w:val="-8"/>
        </w:rPr>
        <w:t>计</w:t>
      </w:r>
      <w:r>
        <w:rPr>
          <w:color w:val="auto"/>
          <w:spacing w:val="-10"/>
        </w:rPr>
        <w:t>施工总承包投标文件、签</w:t>
      </w:r>
      <w:r>
        <w:rPr>
          <w:color w:val="auto"/>
          <w:spacing w:val="-8"/>
        </w:rPr>
        <w:t>订</w:t>
      </w:r>
      <w:r>
        <w:rPr>
          <w:color w:val="auto"/>
          <w:spacing w:val="-10"/>
        </w:rPr>
        <w:t>合同和处理有关事宜，其</w:t>
      </w:r>
      <w:r>
        <w:rPr>
          <w:color w:val="auto"/>
          <w:spacing w:val="-8"/>
        </w:rPr>
        <w:t>法</w:t>
      </w:r>
      <w:r>
        <w:rPr>
          <w:color w:val="auto"/>
          <w:spacing w:val="-10"/>
        </w:rPr>
        <w:t>律后果由我方承担</w:t>
      </w:r>
      <w:r>
        <w:rPr>
          <w:color w:val="auto"/>
        </w:rPr>
        <w:t>。</w:t>
      </w:r>
      <w:r>
        <w:rPr>
          <w:color w:val="auto"/>
          <w:spacing w:val="-10"/>
        </w:rPr>
        <w:t>委托期</w:t>
      </w:r>
      <w:r>
        <w:rPr>
          <w:color w:val="auto"/>
          <w:spacing w:val="-8"/>
        </w:rPr>
        <w:t>限：</w:t>
      </w:r>
      <w:r>
        <w:rPr>
          <w:color w:val="auto"/>
          <w:spacing w:val="-8"/>
          <w:u w:val="single"/>
        </w:rPr>
        <w:t xml:space="preserve"> </w:t>
      </w:r>
      <w:r>
        <w:rPr>
          <w:color w:val="auto"/>
          <w:spacing w:val="-8"/>
          <w:u w:val="single"/>
        </w:rPr>
        <w:tab/>
      </w:r>
      <w:r>
        <w:rPr>
          <w:color w:val="auto"/>
        </w:rPr>
        <w:t>。</w:t>
      </w:r>
    </w:p>
    <w:p>
      <w:pPr>
        <w:pStyle w:val="8"/>
        <w:spacing w:before="2"/>
        <w:ind w:left="1072"/>
        <w:rPr>
          <w:color w:val="auto"/>
        </w:rPr>
      </w:pPr>
      <w:r>
        <w:rPr>
          <w:color w:val="auto"/>
        </w:rPr>
        <w:t>代理人无转委托权。</w:t>
      </w:r>
    </w:p>
    <w:p>
      <w:pPr>
        <w:pStyle w:val="8"/>
        <w:spacing w:before="9"/>
        <w:rPr>
          <w:color w:val="auto"/>
          <w:sz w:val="23"/>
        </w:rPr>
      </w:pPr>
    </w:p>
    <w:p>
      <w:pPr>
        <w:pStyle w:val="8"/>
        <w:spacing w:line="513" w:lineRule="auto"/>
        <w:ind w:left="1089" w:right="5436" w:hanging="17"/>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page">
                  <wp:posOffset>1000125</wp:posOffset>
                </wp:positionH>
                <wp:positionV relativeFrom="paragraph">
                  <wp:posOffset>631825</wp:posOffset>
                </wp:positionV>
                <wp:extent cx="5303520" cy="2100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03520" cy="2100580"/>
                        </a:xfrm>
                        <a:prstGeom prst="rect">
                          <a:avLst/>
                        </a:prstGeom>
                        <a:noFill/>
                        <a:ln>
                          <a:noFill/>
                        </a:ln>
                      </wps:spPr>
                      <wps:txbx>
                        <w:txbxContent>
                          <w:tbl>
                            <w:tblPr>
                              <w:tblStyle w:val="34"/>
                              <w:tblW w:w="830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1"/>
                              <w:gridCol w:w="40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1" w:hRule="atLeast"/>
                              </w:trPr>
                              <w:tc>
                                <w:tcPr>
                                  <w:tcW w:w="4261" w:type="dxa"/>
                                  <w:tcBorders>
                                    <w:right w:val="single" w:color="000000" w:sz="4" w:space="0"/>
                                  </w:tcBorders>
                                </w:tcPr>
                                <w:p>
                                  <w:pPr>
                                    <w:pStyle w:val="45"/>
                                    <w:rPr>
                                      <w:sz w:val="20"/>
                                    </w:rPr>
                                  </w:pPr>
                                </w:p>
                                <w:p>
                                  <w:pPr>
                                    <w:pStyle w:val="45"/>
                                    <w:rPr>
                                      <w:sz w:val="20"/>
                                    </w:rPr>
                                  </w:pPr>
                                </w:p>
                                <w:p>
                                  <w:pPr>
                                    <w:pStyle w:val="45"/>
                                    <w:spacing w:before="157"/>
                                    <w:ind w:right="79"/>
                                    <w:jc w:val="right"/>
                                    <w:rPr>
                                      <w:sz w:val="21"/>
                                    </w:rPr>
                                  </w:pPr>
                                  <w:r>
                                    <w:rPr>
                                      <w:sz w:val="21"/>
                                    </w:rPr>
                                    <w:t xml:space="preserve">法定代表人二代身份证复印件（正面） </w:t>
                                  </w:r>
                                </w:p>
                              </w:tc>
                              <w:tc>
                                <w:tcPr>
                                  <w:tcW w:w="4048" w:type="dxa"/>
                                  <w:tcBorders>
                                    <w:left w:val="single" w:color="000000" w:sz="4" w:space="0"/>
                                  </w:tcBorders>
                                </w:tcPr>
                                <w:p>
                                  <w:pPr>
                                    <w:pStyle w:val="45"/>
                                    <w:rPr>
                                      <w:sz w:val="20"/>
                                    </w:rPr>
                                  </w:pPr>
                                </w:p>
                                <w:p>
                                  <w:pPr>
                                    <w:pStyle w:val="45"/>
                                    <w:rPr>
                                      <w:sz w:val="20"/>
                                    </w:rPr>
                                  </w:pPr>
                                </w:p>
                                <w:p>
                                  <w:pPr>
                                    <w:pStyle w:val="45"/>
                                    <w:spacing w:before="157"/>
                                    <w:ind w:right="-29"/>
                                    <w:jc w:val="right"/>
                                    <w:rPr>
                                      <w:sz w:val="21"/>
                                    </w:rPr>
                                  </w:pPr>
                                  <w:r>
                                    <w:rPr>
                                      <w:sz w:val="21"/>
                                    </w:rPr>
                                    <w:t xml:space="preserve">法定代表人二代身份证复印件（反面）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7" w:hRule="atLeast"/>
                              </w:trPr>
                              <w:tc>
                                <w:tcPr>
                                  <w:tcW w:w="4261" w:type="dxa"/>
                                  <w:tcBorders>
                                    <w:right w:val="single" w:color="000000" w:sz="4" w:space="0"/>
                                  </w:tcBorders>
                                </w:tcPr>
                                <w:p>
                                  <w:pPr>
                                    <w:pStyle w:val="45"/>
                                    <w:rPr>
                                      <w:sz w:val="20"/>
                                    </w:rPr>
                                  </w:pPr>
                                </w:p>
                                <w:p>
                                  <w:pPr>
                                    <w:pStyle w:val="45"/>
                                    <w:rPr>
                                      <w:sz w:val="20"/>
                                    </w:rPr>
                                  </w:pPr>
                                </w:p>
                                <w:p>
                                  <w:pPr>
                                    <w:pStyle w:val="45"/>
                                    <w:spacing w:before="158"/>
                                    <w:ind w:right="79"/>
                                    <w:jc w:val="right"/>
                                    <w:rPr>
                                      <w:sz w:val="21"/>
                                    </w:rPr>
                                  </w:pPr>
                                  <w:r>
                                    <w:rPr>
                                      <w:sz w:val="21"/>
                                    </w:rPr>
                                    <w:t xml:space="preserve">委托代理人二代身份证复印件（正面） </w:t>
                                  </w:r>
                                </w:p>
                              </w:tc>
                              <w:tc>
                                <w:tcPr>
                                  <w:tcW w:w="4048" w:type="dxa"/>
                                  <w:tcBorders>
                                    <w:left w:val="single" w:color="000000" w:sz="4" w:space="0"/>
                                  </w:tcBorders>
                                </w:tcPr>
                                <w:p>
                                  <w:pPr>
                                    <w:pStyle w:val="45"/>
                                    <w:rPr>
                                      <w:sz w:val="20"/>
                                    </w:rPr>
                                  </w:pPr>
                                </w:p>
                                <w:p>
                                  <w:pPr>
                                    <w:pStyle w:val="45"/>
                                    <w:rPr>
                                      <w:sz w:val="20"/>
                                    </w:rPr>
                                  </w:pPr>
                                </w:p>
                                <w:p>
                                  <w:pPr>
                                    <w:pStyle w:val="45"/>
                                    <w:spacing w:before="158"/>
                                    <w:ind w:right="-29"/>
                                    <w:jc w:val="right"/>
                                    <w:rPr>
                                      <w:sz w:val="21"/>
                                    </w:rPr>
                                  </w:pPr>
                                  <w:r>
                                    <w:rPr>
                                      <w:sz w:val="21"/>
                                    </w:rPr>
                                    <w:t xml:space="preserve">委托代理人二代身份证复印件（反面） </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78.75pt;margin-top:49.75pt;height:165.4pt;width:417.6pt;mso-position-horizontal-relative:page;z-index:251660288;mso-width-relative:page;mso-height-relative:page;" filled="f" stroked="f" coordsize="21600,21600" o:gfxdata="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7l+yj2QAAAAoBAAAPAAAAAAAA&#10;AAEAIAAAACIAAABkcnMvZG93bnJldi54bWxQSwECFAAUAAAACACHTuJAtDdwLZ8BAAAlAwAADgAA&#10;AAAAAAABACAAAAAoAQAAZHJzL2Uyb0RvYy54bWxQSwUGAAAAAAYABgBZAQAAOQUAAAAA&#10;">
                <v:fill on="f" focussize="0,0"/>
                <v:stroke on="f"/>
                <v:imagedata o:title=""/>
                <o:lock v:ext="edit" aspectratio="f"/>
                <v:textbox inset="0mm,0mm,0mm,0mm">
                  <w:txbxContent>
                    <w:tbl>
                      <w:tblPr>
                        <w:tblStyle w:val="34"/>
                        <w:tblW w:w="830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1"/>
                        <w:gridCol w:w="40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1" w:hRule="atLeast"/>
                        </w:trPr>
                        <w:tc>
                          <w:tcPr>
                            <w:tcW w:w="4261" w:type="dxa"/>
                            <w:tcBorders>
                              <w:right w:val="single" w:color="000000" w:sz="4" w:space="0"/>
                            </w:tcBorders>
                          </w:tcPr>
                          <w:p>
                            <w:pPr>
                              <w:pStyle w:val="45"/>
                              <w:rPr>
                                <w:sz w:val="20"/>
                              </w:rPr>
                            </w:pPr>
                          </w:p>
                          <w:p>
                            <w:pPr>
                              <w:pStyle w:val="45"/>
                              <w:rPr>
                                <w:sz w:val="20"/>
                              </w:rPr>
                            </w:pPr>
                          </w:p>
                          <w:p>
                            <w:pPr>
                              <w:pStyle w:val="45"/>
                              <w:spacing w:before="157"/>
                              <w:ind w:right="79"/>
                              <w:jc w:val="right"/>
                              <w:rPr>
                                <w:sz w:val="21"/>
                              </w:rPr>
                            </w:pPr>
                            <w:r>
                              <w:rPr>
                                <w:sz w:val="21"/>
                              </w:rPr>
                              <w:t xml:space="preserve">法定代表人二代身份证复印件（正面） </w:t>
                            </w:r>
                          </w:p>
                        </w:tc>
                        <w:tc>
                          <w:tcPr>
                            <w:tcW w:w="4048" w:type="dxa"/>
                            <w:tcBorders>
                              <w:left w:val="single" w:color="000000" w:sz="4" w:space="0"/>
                            </w:tcBorders>
                          </w:tcPr>
                          <w:p>
                            <w:pPr>
                              <w:pStyle w:val="45"/>
                              <w:rPr>
                                <w:sz w:val="20"/>
                              </w:rPr>
                            </w:pPr>
                          </w:p>
                          <w:p>
                            <w:pPr>
                              <w:pStyle w:val="45"/>
                              <w:rPr>
                                <w:sz w:val="20"/>
                              </w:rPr>
                            </w:pPr>
                          </w:p>
                          <w:p>
                            <w:pPr>
                              <w:pStyle w:val="45"/>
                              <w:spacing w:before="157"/>
                              <w:ind w:right="-29"/>
                              <w:jc w:val="right"/>
                              <w:rPr>
                                <w:sz w:val="21"/>
                              </w:rPr>
                            </w:pPr>
                            <w:r>
                              <w:rPr>
                                <w:sz w:val="21"/>
                              </w:rPr>
                              <w:t xml:space="preserve">法定代表人二代身份证复印件（反面）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7" w:hRule="atLeast"/>
                        </w:trPr>
                        <w:tc>
                          <w:tcPr>
                            <w:tcW w:w="4261" w:type="dxa"/>
                            <w:tcBorders>
                              <w:right w:val="single" w:color="000000" w:sz="4" w:space="0"/>
                            </w:tcBorders>
                          </w:tcPr>
                          <w:p>
                            <w:pPr>
                              <w:pStyle w:val="45"/>
                              <w:rPr>
                                <w:sz w:val="20"/>
                              </w:rPr>
                            </w:pPr>
                          </w:p>
                          <w:p>
                            <w:pPr>
                              <w:pStyle w:val="45"/>
                              <w:rPr>
                                <w:sz w:val="20"/>
                              </w:rPr>
                            </w:pPr>
                          </w:p>
                          <w:p>
                            <w:pPr>
                              <w:pStyle w:val="45"/>
                              <w:spacing w:before="158"/>
                              <w:ind w:right="79"/>
                              <w:jc w:val="right"/>
                              <w:rPr>
                                <w:sz w:val="21"/>
                              </w:rPr>
                            </w:pPr>
                            <w:r>
                              <w:rPr>
                                <w:sz w:val="21"/>
                              </w:rPr>
                              <w:t xml:space="preserve">委托代理人二代身份证复印件（正面） </w:t>
                            </w:r>
                          </w:p>
                        </w:tc>
                        <w:tc>
                          <w:tcPr>
                            <w:tcW w:w="4048" w:type="dxa"/>
                            <w:tcBorders>
                              <w:left w:val="single" w:color="000000" w:sz="4" w:space="0"/>
                            </w:tcBorders>
                          </w:tcPr>
                          <w:p>
                            <w:pPr>
                              <w:pStyle w:val="45"/>
                              <w:rPr>
                                <w:sz w:val="20"/>
                              </w:rPr>
                            </w:pPr>
                          </w:p>
                          <w:p>
                            <w:pPr>
                              <w:pStyle w:val="45"/>
                              <w:rPr>
                                <w:sz w:val="20"/>
                              </w:rPr>
                            </w:pPr>
                          </w:p>
                          <w:p>
                            <w:pPr>
                              <w:pStyle w:val="45"/>
                              <w:spacing w:before="158"/>
                              <w:ind w:right="-29"/>
                              <w:jc w:val="right"/>
                              <w:rPr>
                                <w:sz w:val="21"/>
                              </w:rPr>
                            </w:pPr>
                            <w:r>
                              <w:rPr>
                                <w:sz w:val="21"/>
                              </w:rPr>
                              <w:t xml:space="preserve">委托代理人二代身份证复印件（反面） </w:t>
                            </w:r>
                          </w:p>
                        </w:tc>
                      </w:tr>
                    </w:tbl>
                    <w:p>
                      <w:pPr>
                        <w:pStyle w:val="8"/>
                      </w:pPr>
                    </w:p>
                  </w:txbxContent>
                </v:textbox>
              </v:shape>
            </w:pict>
          </mc:Fallback>
        </mc:AlternateContent>
      </w:r>
      <w:r>
        <w:rPr>
          <w:color w:val="auto"/>
        </w:rPr>
        <w:t>后附：法定代表人及委托代理人身份证明委托代理人:</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3"/>
        <w:rPr>
          <w:color w:val="auto"/>
          <w:sz w:val="18"/>
        </w:rPr>
      </w:pPr>
    </w:p>
    <w:p>
      <w:pPr>
        <w:pStyle w:val="8"/>
        <w:spacing w:line="511" w:lineRule="auto"/>
        <w:ind w:left="1089" w:right="6763"/>
        <w:rPr>
          <w:color w:val="auto"/>
        </w:rPr>
      </w:pPr>
      <w:r>
        <w:rPr>
          <w:color w:val="auto"/>
          <w:spacing w:val="-10"/>
        </w:rPr>
        <w:t>牵头人名称：</w:t>
      </w:r>
      <w:r>
        <w:rPr>
          <w:color w:val="auto"/>
          <w:spacing w:val="-9"/>
        </w:rPr>
        <w:t>（</w:t>
      </w:r>
      <w:r>
        <w:rPr>
          <w:color w:val="auto"/>
          <w:spacing w:val="-10"/>
        </w:rPr>
        <w:t>盖单位章</w:t>
      </w:r>
      <w:r>
        <w:rPr>
          <w:color w:val="auto"/>
          <w:spacing w:val="-12"/>
        </w:rPr>
        <w:t xml:space="preserve">） </w:t>
      </w:r>
      <w:r>
        <w:rPr>
          <w:color w:val="auto"/>
          <w:spacing w:val="-10"/>
        </w:rPr>
        <w:t>法定代表人：</w:t>
      </w:r>
      <w:r>
        <w:rPr>
          <w:color w:val="auto"/>
          <w:spacing w:val="-9"/>
        </w:rPr>
        <w:t>（</w:t>
      </w:r>
      <w:r>
        <w:rPr>
          <w:color w:val="auto"/>
          <w:spacing w:val="-10"/>
        </w:rPr>
        <w:t>签字</w:t>
      </w:r>
      <w:r>
        <w:rPr>
          <w:color w:val="auto"/>
        </w:rPr>
        <w:t>）</w:t>
      </w:r>
    </w:p>
    <w:p>
      <w:pPr>
        <w:pStyle w:val="8"/>
        <w:spacing w:before="1" w:line="513" w:lineRule="auto"/>
        <w:ind w:left="1089" w:right="6964"/>
        <w:rPr>
          <w:color w:val="auto"/>
        </w:rPr>
      </w:pPr>
      <w:r>
        <w:rPr>
          <w:color w:val="auto"/>
          <w:spacing w:val="-10"/>
        </w:rPr>
        <w:t>委托代理人：</w:t>
      </w:r>
      <w:r>
        <w:rPr>
          <w:color w:val="auto"/>
          <w:spacing w:val="-9"/>
        </w:rPr>
        <w:t>（</w:t>
      </w:r>
      <w:r>
        <w:rPr>
          <w:color w:val="auto"/>
          <w:spacing w:val="-10"/>
        </w:rPr>
        <w:t>签字</w:t>
      </w:r>
      <w:r>
        <w:rPr>
          <w:color w:val="auto"/>
        </w:rPr>
        <w:t xml:space="preserve">） </w:t>
      </w:r>
      <w:r>
        <w:rPr>
          <w:color w:val="auto"/>
          <w:spacing w:val="-10"/>
        </w:rPr>
        <w:t>成员名称：</w:t>
      </w:r>
      <w:r>
        <w:rPr>
          <w:color w:val="auto"/>
          <w:spacing w:val="-9"/>
        </w:rPr>
        <w:t>（</w:t>
      </w:r>
      <w:r>
        <w:rPr>
          <w:color w:val="auto"/>
          <w:spacing w:val="-10"/>
        </w:rPr>
        <w:t>盖单位章</w:t>
      </w:r>
      <w:r>
        <w:rPr>
          <w:color w:val="auto"/>
          <w:spacing w:val="-12"/>
        </w:rPr>
        <w:t xml:space="preserve">） </w:t>
      </w:r>
      <w:r>
        <w:rPr>
          <w:color w:val="auto"/>
          <w:spacing w:val="-10"/>
        </w:rPr>
        <w:t>法定代表人：</w:t>
      </w:r>
      <w:r>
        <w:rPr>
          <w:color w:val="auto"/>
          <w:spacing w:val="-9"/>
        </w:rPr>
        <w:t>（</w:t>
      </w:r>
      <w:r>
        <w:rPr>
          <w:color w:val="auto"/>
          <w:spacing w:val="-10"/>
        </w:rPr>
        <w:t>签字</w:t>
      </w:r>
      <w:r>
        <w:rPr>
          <w:color w:val="auto"/>
        </w:rPr>
        <w:t xml:space="preserve">） </w:t>
      </w:r>
      <w:r>
        <w:rPr>
          <w:color w:val="auto"/>
          <w:spacing w:val="-10"/>
        </w:rPr>
        <w:t>年月日</w:t>
      </w:r>
    </w:p>
    <w:p>
      <w:pPr>
        <w:spacing w:line="513" w:lineRule="auto"/>
        <w:rPr>
          <w:color w:val="auto"/>
        </w:rPr>
        <w:sectPr>
          <w:pgSz w:w="11910" w:h="16840"/>
          <w:pgMar w:top="1580" w:right="700" w:bottom="1040" w:left="920" w:header="0" w:footer="854" w:gutter="0"/>
          <w:cols w:space="720" w:num="1"/>
        </w:sectPr>
      </w:pPr>
    </w:p>
    <w:p>
      <w:pPr>
        <w:pStyle w:val="8"/>
        <w:rPr>
          <w:color w:val="auto"/>
          <w:sz w:val="20"/>
        </w:rPr>
      </w:pPr>
    </w:p>
    <w:p>
      <w:pPr>
        <w:pStyle w:val="8"/>
        <w:spacing w:before="8"/>
        <w:rPr>
          <w:color w:val="auto"/>
          <w:sz w:val="18"/>
        </w:rPr>
      </w:pPr>
    </w:p>
    <w:p>
      <w:pPr>
        <w:pStyle w:val="37"/>
        <w:spacing w:before="54"/>
        <w:ind w:left="57" w:right="223"/>
        <w:jc w:val="center"/>
        <w:rPr>
          <w:color w:val="auto"/>
        </w:rPr>
      </w:pPr>
      <w:bookmarkStart w:id="329" w:name="三、联合体协议书"/>
      <w:bookmarkEnd w:id="329"/>
      <w:r>
        <w:rPr>
          <w:color w:val="auto"/>
        </w:rPr>
        <w:t>三、联合体协议书</w:t>
      </w:r>
    </w:p>
    <w:p>
      <w:pPr>
        <w:pStyle w:val="8"/>
        <w:spacing w:before="12"/>
        <w:rPr>
          <w:b/>
          <w:color w:val="auto"/>
          <w:sz w:val="38"/>
        </w:rPr>
      </w:pPr>
    </w:p>
    <w:p>
      <w:pPr>
        <w:pStyle w:val="8"/>
        <w:tabs>
          <w:tab w:val="left" w:pos="2080"/>
          <w:tab w:val="left" w:pos="6127"/>
        </w:tabs>
        <w:ind w:left="107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4"/>
        </w:rPr>
        <w:t>（所有成员</w:t>
      </w:r>
      <w:r>
        <w:rPr>
          <w:color w:val="auto"/>
        </w:rPr>
        <w:t>单</w:t>
      </w:r>
      <w:r>
        <w:rPr>
          <w:color w:val="auto"/>
          <w:spacing w:val="4"/>
        </w:rPr>
        <w:t>位名称）自</w:t>
      </w:r>
      <w:r>
        <w:rPr>
          <w:color w:val="auto"/>
        </w:rPr>
        <w:t>愿</w:t>
      </w:r>
      <w:r>
        <w:rPr>
          <w:color w:val="auto"/>
          <w:spacing w:val="4"/>
        </w:rPr>
        <w:t>组</w:t>
      </w:r>
      <w:r>
        <w:rPr>
          <w:color w:val="auto"/>
          <w:spacing w:val="7"/>
        </w:rPr>
        <w:t>成</w:t>
      </w:r>
      <w:r>
        <w:rPr>
          <w:color w:val="auto"/>
          <w:spacing w:val="7"/>
          <w:u w:val="single"/>
        </w:rPr>
        <w:t xml:space="preserve"> </w:t>
      </w:r>
      <w:r>
        <w:rPr>
          <w:color w:val="auto"/>
          <w:spacing w:val="7"/>
          <w:u w:val="single"/>
        </w:rPr>
        <w:tab/>
      </w:r>
      <w:r>
        <w:rPr>
          <w:color w:val="auto"/>
          <w:spacing w:val="4"/>
        </w:rPr>
        <w:t>（联合体名称</w:t>
      </w:r>
      <w:r>
        <w:rPr>
          <w:color w:val="auto"/>
        </w:rPr>
        <w:t>）</w:t>
      </w:r>
      <w:r>
        <w:rPr>
          <w:color w:val="auto"/>
          <w:spacing w:val="4"/>
        </w:rPr>
        <w:t>联</w:t>
      </w:r>
      <w:r>
        <w:rPr>
          <w:color w:val="auto"/>
        </w:rPr>
        <w:t>合</w:t>
      </w:r>
      <w:r>
        <w:rPr>
          <w:color w:val="auto"/>
          <w:spacing w:val="5"/>
        </w:rPr>
        <w:t>体</w:t>
      </w:r>
      <w:r>
        <w:rPr>
          <w:color w:val="auto"/>
          <w:spacing w:val="4"/>
        </w:rPr>
        <w:t>，共同参加</w:t>
      </w:r>
    </w:p>
    <w:p>
      <w:pPr>
        <w:pStyle w:val="8"/>
        <w:spacing w:before="3"/>
        <w:rPr>
          <w:color w:val="auto"/>
          <w:sz w:val="18"/>
        </w:rPr>
      </w:pPr>
    </w:p>
    <w:p>
      <w:pPr>
        <w:pStyle w:val="8"/>
        <w:spacing w:before="71"/>
        <w:ind w:right="3246"/>
        <w:jc w:val="right"/>
        <w:rPr>
          <w:color w:val="auto"/>
        </w:rPr>
      </w:pPr>
      <w:r>
        <w:rPr>
          <w:color w:val="auto"/>
        </w:rPr>
        <w:t>（项目名称）设计施工总承包投标。现就联合体投标事宜订立如下协议。</w:t>
      </w:r>
    </w:p>
    <w:p>
      <w:pPr>
        <w:pStyle w:val="8"/>
        <w:spacing w:before="10"/>
        <w:rPr>
          <w:color w:val="auto"/>
          <w:sz w:val="23"/>
        </w:rPr>
      </w:pPr>
    </w:p>
    <w:p>
      <w:pPr>
        <w:pStyle w:val="8"/>
        <w:tabs>
          <w:tab w:val="left" w:pos="1007"/>
          <w:tab w:val="left" w:pos="3835"/>
        </w:tabs>
        <w:ind w:right="3158"/>
        <w:jc w:val="right"/>
        <w:rPr>
          <w:color w:val="auto"/>
        </w:rPr>
      </w:pPr>
      <w:r>
        <w:rPr>
          <w:rFonts w:ascii="Times New Roman" w:eastAsia="Times New Roman"/>
          <w:color w:val="auto"/>
          <w:spacing w:val="-5"/>
        </w:rPr>
        <w:t>1</w:t>
      </w:r>
      <w:r>
        <w:rPr>
          <w:color w:val="auto"/>
          <w:spacing w:val="-8"/>
        </w:rPr>
        <w:t>、</w:t>
      </w:r>
      <w:r>
        <w:rPr>
          <w:color w:val="auto"/>
          <w:spacing w:val="-8"/>
          <w:u w:val="single"/>
        </w:rPr>
        <w:t xml:space="preserve"> </w:t>
      </w:r>
      <w:r>
        <w:rPr>
          <w:color w:val="auto"/>
          <w:spacing w:val="-8"/>
          <w:u w:val="single"/>
        </w:rPr>
        <w:tab/>
      </w:r>
      <w:r>
        <w:rPr>
          <w:color w:val="auto"/>
          <w:spacing w:val="-8"/>
        </w:rPr>
        <w:t>（</w:t>
      </w:r>
      <w:r>
        <w:rPr>
          <w:color w:val="auto"/>
          <w:spacing w:val="-10"/>
        </w:rPr>
        <w:t>某成员单位名称）</w:t>
      </w:r>
      <w:r>
        <w:rPr>
          <w:color w:val="auto"/>
          <w:spacing w:val="-8"/>
        </w:rPr>
        <w:t>为</w:t>
      </w:r>
      <w:r>
        <w:rPr>
          <w:color w:val="auto"/>
          <w:spacing w:val="-8"/>
          <w:u w:val="single"/>
        </w:rPr>
        <w:t xml:space="preserve"> </w:t>
      </w:r>
      <w:r>
        <w:rPr>
          <w:color w:val="auto"/>
          <w:spacing w:val="-8"/>
          <w:u w:val="single"/>
        </w:rPr>
        <w:tab/>
      </w:r>
      <w:r>
        <w:rPr>
          <w:color w:val="auto"/>
          <w:spacing w:val="-10"/>
        </w:rPr>
        <w:t>（联合体名称）牵头人。</w:t>
      </w:r>
    </w:p>
    <w:p>
      <w:pPr>
        <w:pStyle w:val="8"/>
        <w:spacing w:before="8"/>
        <w:rPr>
          <w:color w:val="auto"/>
          <w:sz w:val="17"/>
        </w:rPr>
      </w:pPr>
    </w:p>
    <w:p>
      <w:pPr>
        <w:pStyle w:val="8"/>
        <w:spacing w:before="79" w:line="511" w:lineRule="auto"/>
        <w:ind w:left="669" w:right="936" w:firstLine="403"/>
        <w:jc w:val="both"/>
        <w:rPr>
          <w:color w:val="auto"/>
        </w:rPr>
      </w:pPr>
      <w:r>
        <w:rPr>
          <w:rFonts w:ascii="Times New Roman" w:eastAsia="Times New Roman"/>
          <w:color w:val="auto"/>
          <w:spacing w:val="-5"/>
        </w:rPr>
        <w:t>2</w:t>
      </w:r>
      <w:r>
        <w:rPr>
          <w:color w:val="auto"/>
          <w:spacing w:val="-19"/>
        </w:rPr>
        <w:t>、联合体牵头人合法代表联合体各成员负责本招标项目投标文件编制和合同谈判活动，并代表</w:t>
      </w:r>
      <w:r>
        <w:rPr>
          <w:color w:val="auto"/>
          <w:spacing w:val="-16"/>
        </w:rPr>
        <w:t>联合体提交和接收相关的资料、信息及指示，并处理与之有关的一切事务，负责合同实施阶段的主</w:t>
      </w:r>
      <w:r>
        <w:rPr>
          <w:color w:val="auto"/>
          <w:spacing w:val="-14"/>
        </w:rPr>
        <w:t>办、组织和协调工作。</w:t>
      </w:r>
    </w:p>
    <w:p>
      <w:pPr>
        <w:pStyle w:val="8"/>
        <w:spacing w:before="4"/>
        <w:ind w:left="1072"/>
        <w:rPr>
          <w:color w:val="auto"/>
        </w:rPr>
      </w:pPr>
      <w:r>
        <w:rPr>
          <w:rFonts w:ascii="Times New Roman" w:eastAsia="Times New Roman"/>
          <w:color w:val="auto"/>
        </w:rPr>
        <w:t>3</w:t>
      </w:r>
      <w:r>
        <w:rPr>
          <w:color w:val="auto"/>
        </w:rPr>
        <w:t>、联合体将严格按照招标文件的各项要求，递交投标文件，履行合同，并对外承担连带责任。</w:t>
      </w:r>
    </w:p>
    <w:p>
      <w:pPr>
        <w:pStyle w:val="8"/>
        <w:spacing w:before="10"/>
        <w:rPr>
          <w:color w:val="auto"/>
          <w:sz w:val="23"/>
        </w:rPr>
      </w:pPr>
    </w:p>
    <w:p>
      <w:pPr>
        <w:pStyle w:val="8"/>
        <w:tabs>
          <w:tab w:val="left" w:pos="6770"/>
        </w:tabs>
        <w:ind w:left="1072"/>
        <w:rPr>
          <w:color w:val="auto"/>
        </w:rPr>
      </w:pPr>
      <w:r>
        <w:rPr>
          <w:rFonts w:ascii="Times New Roman" w:eastAsia="Times New Roman"/>
          <w:color w:val="auto"/>
          <w:spacing w:val="-5"/>
        </w:rPr>
        <w:t>4</w:t>
      </w:r>
      <w:r>
        <w:rPr>
          <w:color w:val="auto"/>
          <w:spacing w:val="-10"/>
        </w:rPr>
        <w:t>、联合体</w:t>
      </w:r>
      <w:r>
        <w:rPr>
          <w:color w:val="auto"/>
          <w:spacing w:val="-8"/>
        </w:rPr>
        <w:t>各</w:t>
      </w:r>
      <w:r>
        <w:rPr>
          <w:color w:val="auto"/>
          <w:spacing w:val="-10"/>
        </w:rPr>
        <w:t>成员单位内部的职责分工</w:t>
      </w:r>
      <w:r>
        <w:rPr>
          <w:color w:val="auto"/>
          <w:spacing w:val="-8"/>
        </w:rPr>
        <w:t>如</w:t>
      </w:r>
      <w:r>
        <w:rPr>
          <w:color w:val="auto"/>
          <w:spacing w:val="-10"/>
        </w:rPr>
        <w:t>下</w:t>
      </w:r>
      <w:r>
        <w:rPr>
          <w:color w:val="auto"/>
          <w:spacing w:val="-9"/>
        </w:rPr>
        <w:t>：</w:t>
      </w:r>
      <w:r>
        <w:rPr>
          <w:color w:val="auto"/>
          <w:spacing w:val="-9"/>
          <w:u w:val="single"/>
        </w:rPr>
        <w:t xml:space="preserve"> </w:t>
      </w:r>
      <w:r>
        <w:rPr>
          <w:color w:val="auto"/>
          <w:spacing w:val="-9"/>
          <w:u w:val="single"/>
        </w:rPr>
        <w:tab/>
      </w:r>
      <w:r>
        <w:rPr>
          <w:color w:val="auto"/>
        </w:rPr>
        <w:t>。</w:t>
      </w:r>
    </w:p>
    <w:p>
      <w:pPr>
        <w:pStyle w:val="8"/>
        <w:spacing w:before="9"/>
        <w:rPr>
          <w:color w:val="auto"/>
          <w:sz w:val="17"/>
        </w:rPr>
      </w:pPr>
    </w:p>
    <w:p>
      <w:pPr>
        <w:pStyle w:val="8"/>
        <w:spacing w:before="78"/>
        <w:ind w:left="1072"/>
        <w:rPr>
          <w:color w:val="auto"/>
        </w:rPr>
      </w:pPr>
      <w:r>
        <w:rPr>
          <w:rFonts w:ascii="Times New Roman" w:eastAsia="Times New Roman"/>
          <w:color w:val="auto"/>
        </w:rPr>
        <w:t>5</w:t>
      </w:r>
      <w:r>
        <w:rPr>
          <w:color w:val="auto"/>
        </w:rPr>
        <w:t>、本协议书自签署之日起生效，合同履行完毕后自动失效。</w:t>
      </w:r>
    </w:p>
    <w:p>
      <w:pPr>
        <w:pStyle w:val="8"/>
        <w:spacing w:before="10"/>
        <w:rPr>
          <w:color w:val="auto"/>
          <w:sz w:val="23"/>
        </w:rPr>
      </w:pPr>
    </w:p>
    <w:p>
      <w:pPr>
        <w:pStyle w:val="8"/>
        <w:tabs>
          <w:tab w:val="left" w:pos="3091"/>
        </w:tabs>
        <w:ind w:left="1072"/>
        <w:rPr>
          <w:color w:val="auto"/>
        </w:rPr>
      </w:pPr>
      <w:r>
        <w:rPr>
          <w:rFonts w:ascii="Times New Roman" w:eastAsia="Times New Roman"/>
          <w:color w:val="auto"/>
          <w:spacing w:val="-5"/>
        </w:rPr>
        <w:t>6</w:t>
      </w:r>
      <w:r>
        <w:rPr>
          <w:color w:val="auto"/>
          <w:spacing w:val="-10"/>
        </w:rPr>
        <w:t>、本协议</w:t>
      </w:r>
      <w:r>
        <w:rPr>
          <w:color w:val="auto"/>
          <w:spacing w:val="-8"/>
        </w:rPr>
        <w:t>书</w:t>
      </w:r>
      <w:r>
        <w:rPr>
          <w:color w:val="auto"/>
          <w:spacing w:val="-10"/>
        </w:rPr>
        <w:t>一</w:t>
      </w:r>
      <w:r>
        <w:rPr>
          <w:color w:val="auto"/>
          <w:spacing w:val="-8"/>
        </w:rPr>
        <w:t>式</w:t>
      </w:r>
      <w:r>
        <w:rPr>
          <w:color w:val="auto"/>
          <w:spacing w:val="-8"/>
          <w:u w:val="single"/>
        </w:rPr>
        <w:t xml:space="preserve"> </w:t>
      </w:r>
      <w:r>
        <w:rPr>
          <w:color w:val="auto"/>
          <w:spacing w:val="-8"/>
          <w:u w:val="single"/>
        </w:rPr>
        <w:tab/>
      </w:r>
      <w:r>
        <w:rPr>
          <w:color w:val="auto"/>
          <w:spacing w:val="-10"/>
        </w:rPr>
        <w:t>份，联合体成员</w:t>
      </w:r>
      <w:r>
        <w:rPr>
          <w:color w:val="auto"/>
          <w:spacing w:val="-8"/>
        </w:rPr>
        <w:t>和</w:t>
      </w:r>
      <w:r>
        <w:rPr>
          <w:color w:val="auto"/>
          <w:spacing w:val="-10"/>
        </w:rPr>
        <w:t>招标人各执一份。</w:t>
      </w:r>
    </w:p>
    <w:p>
      <w:pPr>
        <w:pStyle w:val="8"/>
        <w:rPr>
          <w:color w:val="auto"/>
          <w:sz w:val="20"/>
        </w:rPr>
      </w:pPr>
    </w:p>
    <w:p>
      <w:pPr>
        <w:pStyle w:val="8"/>
        <w:rPr>
          <w:color w:val="auto"/>
          <w:sz w:val="20"/>
        </w:rPr>
      </w:pPr>
    </w:p>
    <w:p>
      <w:pPr>
        <w:pStyle w:val="8"/>
        <w:spacing w:before="12"/>
        <w:rPr>
          <w:color w:val="auto"/>
          <w:sz w:val="22"/>
        </w:rPr>
      </w:pPr>
    </w:p>
    <w:p>
      <w:pPr>
        <w:pStyle w:val="8"/>
        <w:spacing w:before="72" w:line="513" w:lineRule="auto"/>
        <w:ind w:left="1089" w:right="2724"/>
        <w:rPr>
          <w:color w:val="auto"/>
        </w:rPr>
      </w:pPr>
      <w:r>
        <w:rPr>
          <w:color w:val="auto"/>
          <w:spacing w:val="-10"/>
        </w:rPr>
        <w:t>注：本协议书由委托代理人签字的，应附法定代表人签字的授权委托书。牵头人名称：</w:t>
      </w:r>
      <w:r>
        <w:rPr>
          <w:color w:val="auto"/>
          <w:spacing w:val="-9"/>
        </w:rPr>
        <w:t>（</w:t>
      </w:r>
      <w:r>
        <w:rPr>
          <w:color w:val="auto"/>
          <w:spacing w:val="-10"/>
        </w:rPr>
        <w:t>盖单位章</w:t>
      </w:r>
      <w:r>
        <w:rPr>
          <w:color w:val="auto"/>
        </w:rPr>
        <w:t>）</w:t>
      </w:r>
    </w:p>
    <w:p>
      <w:pPr>
        <w:pStyle w:val="8"/>
        <w:spacing w:line="511" w:lineRule="auto"/>
        <w:ind w:left="1089" w:right="5754"/>
        <w:rPr>
          <w:color w:val="auto"/>
        </w:rPr>
      </w:pPr>
      <w:r>
        <w:rPr>
          <w:color w:val="auto"/>
          <w:spacing w:val="-10"/>
        </w:rPr>
        <w:t>法定代表人或其委托代理人：（签字</w:t>
      </w:r>
      <w:r>
        <w:rPr>
          <w:color w:val="auto"/>
        </w:rPr>
        <w:t xml:space="preserve">） </w:t>
      </w:r>
      <w:r>
        <w:rPr>
          <w:color w:val="auto"/>
          <w:spacing w:val="-10"/>
        </w:rPr>
        <w:t>成员名称：</w:t>
      </w:r>
      <w:r>
        <w:rPr>
          <w:color w:val="auto"/>
          <w:spacing w:val="-9"/>
        </w:rPr>
        <w:t>（</w:t>
      </w:r>
      <w:r>
        <w:rPr>
          <w:color w:val="auto"/>
          <w:spacing w:val="-10"/>
        </w:rPr>
        <w:t>盖单位章</w:t>
      </w:r>
      <w:r>
        <w:rPr>
          <w:color w:val="auto"/>
        </w:rPr>
        <w:t>）</w:t>
      </w:r>
    </w:p>
    <w:p>
      <w:pPr>
        <w:pStyle w:val="8"/>
        <w:ind w:left="1089"/>
        <w:rPr>
          <w:color w:val="auto"/>
        </w:rPr>
      </w:pPr>
      <w:r>
        <w:rPr>
          <w:color w:val="auto"/>
        </w:rPr>
        <w:t>法定代表人或其委托代理人：（签字）</w:t>
      </w:r>
    </w:p>
    <w:p>
      <w:pPr>
        <w:pStyle w:val="8"/>
        <w:rPr>
          <w:color w:val="auto"/>
          <w:sz w:val="20"/>
        </w:rPr>
      </w:pPr>
    </w:p>
    <w:p>
      <w:pPr>
        <w:pStyle w:val="8"/>
        <w:rPr>
          <w:color w:val="auto"/>
          <w:sz w:val="20"/>
        </w:rPr>
      </w:pPr>
    </w:p>
    <w:p>
      <w:pPr>
        <w:pStyle w:val="8"/>
        <w:spacing w:before="6"/>
        <w:rPr>
          <w:color w:val="auto"/>
          <w:sz w:val="28"/>
        </w:rPr>
      </w:pPr>
    </w:p>
    <w:p>
      <w:pPr>
        <w:pStyle w:val="8"/>
        <w:ind w:left="669" w:right="3474"/>
        <w:jc w:val="center"/>
        <w:rPr>
          <w:color w:val="auto"/>
        </w:rPr>
      </w:pPr>
      <w:r>
        <w:rPr>
          <w:color w:val="auto"/>
        </w:rPr>
        <w:t>年月日</w:t>
      </w:r>
    </w:p>
    <w:p>
      <w:pPr>
        <w:jc w:val="center"/>
        <w:rPr>
          <w:color w:val="auto"/>
        </w:rPr>
        <w:sectPr>
          <w:pgSz w:w="11910" w:h="16840"/>
          <w:pgMar w:top="1580" w:right="700" w:bottom="1040" w:left="920" w:header="0" w:footer="854" w:gutter="0"/>
          <w:cols w:space="720" w:num="1"/>
        </w:sectPr>
      </w:pPr>
    </w:p>
    <w:p>
      <w:pPr>
        <w:pStyle w:val="8"/>
        <w:spacing w:before="5"/>
        <w:rPr>
          <w:color w:val="auto"/>
          <w:sz w:val="18"/>
        </w:rPr>
      </w:pPr>
    </w:p>
    <w:p>
      <w:pPr>
        <w:pStyle w:val="37"/>
        <w:spacing w:before="54"/>
        <w:ind w:left="622" w:right="883"/>
        <w:jc w:val="center"/>
        <w:rPr>
          <w:color w:val="auto"/>
        </w:rPr>
      </w:pPr>
      <w:r>
        <w:rPr>
          <w:color w:val="auto"/>
        </w:rPr>
        <w:t>四、投标保证</w:t>
      </w:r>
    </w:p>
    <w:p>
      <w:pPr>
        <w:pStyle w:val="8"/>
        <w:rPr>
          <w:b/>
          <w:color w:val="auto"/>
          <w:sz w:val="32"/>
        </w:rPr>
      </w:pPr>
    </w:p>
    <w:p>
      <w:pPr>
        <w:pStyle w:val="8"/>
        <w:spacing w:before="10"/>
        <w:rPr>
          <w:b/>
          <w:color w:val="auto"/>
          <w:sz w:val="27"/>
        </w:rPr>
      </w:pPr>
    </w:p>
    <w:p>
      <w:pPr>
        <w:pStyle w:val="8"/>
        <w:spacing w:line="357" w:lineRule="auto"/>
        <w:ind w:left="669" w:right="925"/>
        <w:rPr>
          <w:color w:val="auto"/>
        </w:rPr>
      </w:pPr>
      <w:r>
        <w:rPr>
          <w:color w:val="auto"/>
          <w:spacing w:val="-11"/>
        </w:rPr>
        <w:t>采用现金的，请附投标人基本账户开户许可证复印件</w:t>
      </w:r>
      <w:r>
        <w:rPr>
          <w:color w:val="auto"/>
          <w:spacing w:val="-10"/>
        </w:rPr>
        <w:t>（或基本帐户开户银行打印的账户信息，包含户名、账号、基本存款账户编号等信息</w:t>
      </w:r>
      <w:r>
        <w:rPr>
          <w:color w:val="auto"/>
          <w:spacing w:val="-9"/>
        </w:rPr>
        <w:t>）</w:t>
      </w:r>
      <w:r>
        <w:rPr>
          <w:color w:val="auto"/>
          <w:spacing w:val="-10"/>
        </w:rPr>
        <w:t>以及投标保证金银行进账单复印件</w:t>
      </w:r>
    </w:p>
    <w:p>
      <w:pPr>
        <w:pStyle w:val="8"/>
        <w:spacing w:line="357" w:lineRule="auto"/>
        <w:ind w:left="669" w:right="925"/>
        <w:rPr>
          <w:rFonts w:hint="eastAsia"/>
          <w:color w:val="auto"/>
          <w:spacing w:val="-11"/>
        </w:rPr>
      </w:pPr>
      <w:r>
        <w:rPr>
          <w:rFonts w:hint="eastAsia"/>
          <w:color w:val="auto"/>
          <w:spacing w:val="-11"/>
        </w:rPr>
        <w:t>采用保函的，附投标保函扫描件（纸质保函格式附后）</w:t>
      </w:r>
    </w:p>
    <w:p>
      <w:pPr>
        <w:pStyle w:val="8"/>
        <w:spacing w:line="357" w:lineRule="auto"/>
        <w:ind w:left="669" w:right="925"/>
        <w:rPr>
          <w:rFonts w:hint="eastAsia"/>
          <w:color w:val="auto"/>
          <w:spacing w:val="-11"/>
        </w:rPr>
      </w:pPr>
      <w:r>
        <w:rPr>
          <w:rFonts w:hint="eastAsia"/>
          <w:color w:val="auto"/>
          <w:spacing w:val="-11"/>
        </w:rPr>
        <w:t>采用保证保险，请附投标保证保险扫描件（纸质保证保险格式附后）</w:t>
      </w:r>
    </w:p>
    <w:p>
      <w:pPr>
        <w:pStyle w:val="8"/>
        <w:spacing w:line="357" w:lineRule="auto"/>
        <w:ind w:left="669" w:right="925"/>
        <w:rPr>
          <w:color w:val="auto"/>
          <w:spacing w:val="-11"/>
        </w:rPr>
      </w:pPr>
      <w:r>
        <w:rPr>
          <w:rFonts w:hint="eastAsia"/>
          <w:color w:val="auto"/>
          <w:spacing w:val="-11"/>
        </w:rPr>
        <w:t>采用电子保函的，附电子保函扫描件</w:t>
      </w:r>
    </w:p>
    <w:p>
      <w:pPr>
        <w:pStyle w:val="8"/>
        <w:spacing w:before="8"/>
        <w:rPr>
          <w:color w:val="auto"/>
          <w:sz w:val="22"/>
        </w:rPr>
      </w:pPr>
    </w:p>
    <w:p>
      <w:pPr>
        <w:pStyle w:val="37"/>
        <w:ind w:left="619" w:right="883"/>
        <w:jc w:val="center"/>
        <w:rPr>
          <w:color w:val="auto"/>
        </w:rPr>
      </w:pPr>
      <w:r>
        <w:rPr>
          <w:color w:val="auto"/>
        </w:rPr>
        <w:t>投标保函</w:t>
      </w:r>
    </w:p>
    <w:p>
      <w:pPr>
        <w:pStyle w:val="8"/>
        <w:tabs>
          <w:tab w:val="left" w:pos="2284"/>
        </w:tabs>
        <w:spacing w:before="257"/>
        <w:ind w:left="669"/>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10"/>
          <w:u w:val="single"/>
        </w:rPr>
        <w:t>（受益人名称</w:t>
      </w:r>
      <w:r>
        <w:rPr>
          <w:color w:val="auto"/>
          <w:spacing w:val="-5"/>
          <w:u w:val="single"/>
        </w:rPr>
        <w:t>）</w:t>
      </w:r>
      <w:r>
        <w:rPr>
          <w:color w:val="auto"/>
          <w:spacing w:val="-5"/>
        </w:rPr>
        <w:t>：</w:t>
      </w:r>
    </w:p>
    <w:p>
      <w:pPr>
        <w:pStyle w:val="8"/>
        <w:spacing w:before="4"/>
        <w:rPr>
          <w:color w:val="auto"/>
          <w:sz w:val="10"/>
        </w:rPr>
      </w:pPr>
    </w:p>
    <w:p>
      <w:pPr>
        <w:pStyle w:val="8"/>
        <w:tabs>
          <w:tab w:val="left" w:pos="2863"/>
          <w:tab w:val="left" w:pos="6521"/>
          <w:tab w:val="left" w:pos="7025"/>
          <w:tab w:val="left" w:pos="7529"/>
        </w:tabs>
        <w:spacing w:before="79"/>
        <w:ind w:left="870"/>
        <w:rPr>
          <w:color w:val="auto"/>
        </w:rPr>
      </w:pPr>
      <w:r>
        <w:rPr>
          <w:color w:val="auto"/>
          <w:spacing w:val="-10"/>
        </w:rPr>
        <w:t>鉴</w:t>
      </w:r>
      <w:r>
        <w:rPr>
          <w:color w:val="auto"/>
          <w:spacing w:val="-8"/>
        </w:rPr>
        <w:t>于</w:t>
      </w:r>
      <w:r>
        <w:rPr>
          <w:color w:val="auto"/>
          <w:spacing w:val="-8"/>
          <w:u w:val="single"/>
        </w:rPr>
        <w:t xml:space="preserve"> </w:t>
      </w:r>
      <w:r>
        <w:rPr>
          <w:color w:val="auto"/>
          <w:spacing w:val="-8"/>
          <w:u w:val="single"/>
        </w:rPr>
        <w:tab/>
      </w:r>
      <w:r>
        <w:rPr>
          <w:color w:val="auto"/>
          <w:spacing w:val="-10"/>
          <w:u w:val="single"/>
        </w:rPr>
        <w:t>（投标人名</w:t>
      </w:r>
      <w:r>
        <w:rPr>
          <w:color w:val="auto"/>
          <w:spacing w:val="-8"/>
          <w:u w:val="single"/>
        </w:rPr>
        <w:t>称</w:t>
      </w:r>
      <w:r>
        <w:rPr>
          <w:color w:val="auto"/>
          <w:spacing w:val="-36"/>
          <w:u w:val="single"/>
        </w:rPr>
        <w:t>，</w:t>
      </w:r>
      <w:r>
        <w:rPr>
          <w:color w:val="auto"/>
          <w:spacing w:val="-10"/>
          <w:u w:val="single"/>
        </w:rPr>
        <w:t>以下</w:t>
      </w:r>
      <w:r>
        <w:rPr>
          <w:color w:val="auto"/>
          <w:spacing w:val="-8"/>
          <w:u w:val="single"/>
        </w:rPr>
        <w:t>称</w:t>
      </w:r>
      <w:r>
        <w:rPr>
          <w:rFonts w:ascii="Times New Roman" w:hAnsi="Times New Roman" w:eastAsia="Times New Roman"/>
          <w:color w:val="auto"/>
          <w:spacing w:val="-8"/>
          <w:u w:val="single"/>
        </w:rPr>
        <w:t>“</w:t>
      </w:r>
      <w:r>
        <w:rPr>
          <w:color w:val="auto"/>
          <w:spacing w:val="-10"/>
          <w:u w:val="single"/>
        </w:rPr>
        <w:t>投标</w:t>
      </w:r>
      <w:r>
        <w:rPr>
          <w:color w:val="auto"/>
          <w:spacing w:val="-7"/>
          <w:u w:val="single"/>
        </w:rPr>
        <w:t>人</w:t>
      </w:r>
      <w:r>
        <w:rPr>
          <w:rFonts w:ascii="Times New Roman" w:hAnsi="Times New Roman" w:eastAsia="Times New Roman"/>
          <w:color w:val="auto"/>
          <w:spacing w:val="-22"/>
          <w:u w:val="single"/>
        </w:rPr>
        <w:t>”</w:t>
      </w:r>
      <w:r>
        <w:rPr>
          <w:color w:val="auto"/>
          <w:spacing w:val="-22"/>
          <w:u w:val="single"/>
        </w:rPr>
        <w:t>）</w:t>
      </w:r>
      <w:r>
        <w:rPr>
          <w:color w:val="auto"/>
          <w:spacing w:val="-8"/>
        </w:rPr>
        <w:t>于</w:t>
      </w:r>
      <w:r>
        <w:rPr>
          <w:color w:val="auto"/>
          <w:spacing w:val="-8"/>
          <w:u w:val="single"/>
        </w:rPr>
        <w:t xml:space="preserve"> </w:t>
      </w:r>
      <w:r>
        <w:rPr>
          <w:color w:val="auto"/>
          <w:spacing w:val="-8"/>
          <w:u w:val="single"/>
        </w:rPr>
        <w:tab/>
      </w:r>
      <w:r>
        <w:rPr>
          <w:color w:val="auto"/>
          <w:spacing w:val="-8"/>
        </w:rPr>
        <w:t>年</w:t>
      </w:r>
      <w:r>
        <w:rPr>
          <w:color w:val="auto"/>
          <w:spacing w:val="-8"/>
          <w:u w:val="single"/>
        </w:rPr>
        <w:t xml:space="preserve"> </w:t>
      </w:r>
      <w:r>
        <w:rPr>
          <w:color w:val="auto"/>
          <w:spacing w:val="-8"/>
          <w:u w:val="single"/>
        </w:rPr>
        <w:tab/>
      </w:r>
      <w:r>
        <w:rPr>
          <w:color w:val="auto"/>
          <w:spacing w:val="-8"/>
        </w:rPr>
        <w:t>月</w:t>
      </w:r>
      <w:r>
        <w:rPr>
          <w:color w:val="auto"/>
          <w:spacing w:val="-8"/>
          <w:u w:val="single"/>
        </w:rPr>
        <w:t xml:space="preserve"> </w:t>
      </w:r>
      <w:r>
        <w:rPr>
          <w:color w:val="auto"/>
          <w:spacing w:val="-8"/>
          <w:u w:val="single"/>
        </w:rPr>
        <w:tab/>
      </w:r>
      <w:r>
        <w:rPr>
          <w:color w:val="auto"/>
          <w:spacing w:val="-10"/>
        </w:rPr>
        <w:t>日参加你方作为</w:t>
      </w:r>
      <w:r>
        <w:rPr>
          <w:color w:val="auto"/>
          <w:spacing w:val="-8"/>
        </w:rPr>
        <w:t>招</w:t>
      </w:r>
      <w:r>
        <w:rPr>
          <w:color w:val="auto"/>
        </w:rPr>
        <w:t>标</w:t>
      </w:r>
    </w:p>
    <w:p>
      <w:pPr>
        <w:pStyle w:val="8"/>
        <w:spacing w:before="4"/>
        <w:rPr>
          <w:color w:val="auto"/>
          <w:sz w:val="10"/>
        </w:rPr>
      </w:pPr>
    </w:p>
    <w:p>
      <w:pPr>
        <w:pStyle w:val="8"/>
        <w:tabs>
          <w:tab w:val="left" w:pos="3091"/>
        </w:tabs>
        <w:spacing w:before="78"/>
        <w:ind w:left="669"/>
        <w:rPr>
          <w:color w:val="auto"/>
        </w:rPr>
      </w:pPr>
      <w:r>
        <w:rPr>
          <w:color w:val="auto"/>
          <w:spacing w:val="-10"/>
        </w:rPr>
        <w:t>人组织</w:t>
      </w:r>
      <w:r>
        <w:rPr>
          <w:color w:val="auto"/>
          <w:spacing w:val="-8"/>
        </w:rPr>
        <w:t>的</w:t>
      </w:r>
      <w:r>
        <w:rPr>
          <w:color w:val="auto"/>
          <w:spacing w:val="-8"/>
          <w:u w:val="single"/>
        </w:rPr>
        <w:t xml:space="preserve"> </w:t>
      </w:r>
      <w:r>
        <w:rPr>
          <w:color w:val="auto"/>
          <w:spacing w:val="-8"/>
          <w:u w:val="single"/>
        </w:rPr>
        <w:tab/>
      </w:r>
      <w:r>
        <w:rPr>
          <w:color w:val="auto"/>
          <w:spacing w:val="-10"/>
        </w:rPr>
        <w:t>（招标项</w:t>
      </w:r>
      <w:r>
        <w:rPr>
          <w:color w:val="auto"/>
          <w:spacing w:val="-8"/>
        </w:rPr>
        <w:t>目</w:t>
      </w:r>
      <w:r>
        <w:rPr>
          <w:color w:val="auto"/>
          <w:spacing w:val="-10"/>
        </w:rPr>
        <w:t>及标</w:t>
      </w:r>
      <w:r>
        <w:rPr>
          <w:color w:val="auto"/>
          <w:spacing w:val="-11"/>
        </w:rPr>
        <w:t>段</w:t>
      </w:r>
      <w:r>
        <w:rPr>
          <w:color w:val="auto"/>
          <w:spacing w:val="-10"/>
        </w:rPr>
        <w:t>）的施工招标投标</w:t>
      </w:r>
      <w:r>
        <w:rPr>
          <w:color w:val="auto"/>
          <w:spacing w:val="-8"/>
        </w:rPr>
        <w:t>，</w:t>
      </w:r>
      <w:r>
        <w:rPr>
          <w:color w:val="auto"/>
          <w:spacing w:val="-10"/>
        </w:rPr>
        <w:t>我方愿意无条件地、不可</w:t>
      </w:r>
      <w:r>
        <w:rPr>
          <w:color w:val="auto"/>
          <w:spacing w:val="-8"/>
        </w:rPr>
        <w:t>撤</w:t>
      </w:r>
      <w:r>
        <w:rPr>
          <w:color w:val="auto"/>
          <w:spacing w:val="-10"/>
        </w:rPr>
        <w:t>销</w:t>
      </w:r>
      <w:r>
        <w:rPr>
          <w:color w:val="auto"/>
        </w:rPr>
        <w:t>就</w:t>
      </w:r>
    </w:p>
    <w:p>
      <w:pPr>
        <w:pStyle w:val="8"/>
        <w:spacing w:before="5"/>
        <w:rPr>
          <w:color w:val="auto"/>
          <w:sz w:val="10"/>
        </w:rPr>
      </w:pPr>
    </w:p>
    <w:p>
      <w:pPr>
        <w:pStyle w:val="8"/>
        <w:tabs>
          <w:tab w:val="left" w:pos="3796"/>
        </w:tabs>
        <w:spacing w:before="78"/>
        <w:ind w:left="669"/>
        <w:rPr>
          <w:color w:val="auto"/>
        </w:rPr>
      </w:pPr>
      <w:r>
        <w:rPr>
          <w:color w:val="auto"/>
          <w:spacing w:val="-10"/>
        </w:rPr>
        <w:t>投标人履</w:t>
      </w:r>
      <w:r>
        <w:rPr>
          <w:color w:val="auto"/>
          <w:spacing w:val="-8"/>
        </w:rPr>
        <w:t>行</w:t>
      </w:r>
      <w:r>
        <w:rPr>
          <w:color w:val="auto"/>
          <w:spacing w:val="-8"/>
          <w:u w:val="single"/>
        </w:rPr>
        <w:t xml:space="preserve"> </w:t>
      </w:r>
      <w:r>
        <w:rPr>
          <w:color w:val="auto"/>
          <w:spacing w:val="-8"/>
          <w:u w:val="single"/>
        </w:rPr>
        <w:tab/>
      </w:r>
      <w:r>
        <w:rPr>
          <w:color w:val="auto"/>
          <w:spacing w:val="-10"/>
        </w:rPr>
        <w:t>项</w:t>
      </w:r>
      <w:r>
        <w:rPr>
          <w:color w:val="auto"/>
          <w:spacing w:val="-8"/>
        </w:rPr>
        <w:t>目</w:t>
      </w:r>
      <w:r>
        <w:rPr>
          <w:color w:val="auto"/>
          <w:spacing w:val="-10"/>
        </w:rPr>
        <w:t>招标文件规定的投标义务</w:t>
      </w:r>
      <w:r>
        <w:rPr>
          <w:color w:val="auto"/>
          <w:spacing w:val="-8"/>
        </w:rPr>
        <w:t>，</w:t>
      </w:r>
      <w:r>
        <w:rPr>
          <w:color w:val="auto"/>
          <w:spacing w:val="-10"/>
        </w:rPr>
        <w:t>向你方出具见索即付独立</w:t>
      </w:r>
      <w:r>
        <w:rPr>
          <w:color w:val="auto"/>
          <w:spacing w:val="-8"/>
        </w:rPr>
        <w:t>保</w:t>
      </w:r>
      <w:r>
        <w:rPr>
          <w:color w:val="auto"/>
          <w:spacing w:val="-10"/>
        </w:rPr>
        <w:t>函</w:t>
      </w:r>
      <w:r>
        <w:rPr>
          <w:color w:val="auto"/>
        </w:rPr>
        <w:t>：</w:t>
      </w:r>
    </w:p>
    <w:p>
      <w:pPr>
        <w:pStyle w:val="8"/>
        <w:spacing w:before="5"/>
        <w:rPr>
          <w:color w:val="auto"/>
          <w:sz w:val="10"/>
        </w:rPr>
      </w:pPr>
    </w:p>
    <w:p>
      <w:pPr>
        <w:pStyle w:val="44"/>
        <w:numPr>
          <w:ilvl w:val="0"/>
          <w:numId w:val="93"/>
        </w:numPr>
        <w:tabs>
          <w:tab w:val="left" w:pos="1386"/>
          <w:tab w:val="left" w:pos="5714"/>
          <w:tab w:val="left" w:pos="7579"/>
        </w:tabs>
        <w:spacing w:before="78"/>
        <w:ind w:hanging="314"/>
        <w:rPr>
          <w:color w:val="auto"/>
          <w:sz w:val="21"/>
        </w:rPr>
      </w:pPr>
      <w:r>
        <w:rPr>
          <w:color w:val="auto"/>
          <w:spacing w:val="-10"/>
          <w:sz w:val="21"/>
        </w:rPr>
        <w:t>本保函</w:t>
      </w:r>
      <w:r>
        <w:rPr>
          <w:color w:val="auto"/>
          <w:spacing w:val="-8"/>
          <w:sz w:val="21"/>
        </w:rPr>
        <w:t>最</w:t>
      </w:r>
      <w:r>
        <w:rPr>
          <w:color w:val="auto"/>
          <w:spacing w:val="-10"/>
          <w:sz w:val="21"/>
        </w:rPr>
        <w:t>高担保金额人民币（大写</w:t>
      </w:r>
      <w:r>
        <w:rPr>
          <w:color w:val="auto"/>
          <w:spacing w:val="-9"/>
          <w:sz w:val="21"/>
        </w:rPr>
        <w:t>）</w:t>
      </w:r>
      <w:r>
        <w:rPr>
          <w:color w:val="auto"/>
          <w:spacing w:val="-9"/>
          <w:sz w:val="21"/>
          <w:u w:val="single"/>
        </w:rPr>
        <w:t xml:space="preserve"> </w:t>
      </w:r>
      <w:r>
        <w:rPr>
          <w:color w:val="auto"/>
          <w:spacing w:val="-9"/>
          <w:sz w:val="21"/>
          <w:u w:val="single"/>
        </w:rPr>
        <w:tab/>
      </w:r>
      <w:r>
        <w:rPr>
          <w:color w:val="auto"/>
          <w:spacing w:val="-10"/>
          <w:sz w:val="21"/>
        </w:rPr>
        <w:t>元</w:t>
      </w:r>
      <w:r>
        <w:rPr>
          <w:color w:val="auto"/>
          <w:spacing w:val="-7"/>
          <w:sz w:val="21"/>
        </w:rPr>
        <w:t>（</w:t>
      </w:r>
      <w:r>
        <w:rPr>
          <w:rFonts w:ascii="Times New Roman" w:hAnsi="Times New Roman" w:eastAsia="Times New Roman"/>
          <w:color w:val="auto"/>
          <w:spacing w:val="-7"/>
          <w:sz w:val="21"/>
        </w:rPr>
        <w:t>¥</w:t>
      </w:r>
      <w:r>
        <w:rPr>
          <w:rFonts w:ascii="Times New Roman" w:hAnsi="Times New Roman" w:eastAsia="Times New Roman"/>
          <w:color w:val="auto"/>
          <w:spacing w:val="-7"/>
          <w:sz w:val="21"/>
          <w:u w:val="single"/>
        </w:rPr>
        <w:t xml:space="preserve"> </w:t>
      </w:r>
      <w:r>
        <w:rPr>
          <w:rFonts w:ascii="Times New Roman" w:hAnsi="Times New Roman" w:eastAsia="Times New Roman"/>
          <w:color w:val="auto"/>
          <w:spacing w:val="-7"/>
          <w:sz w:val="21"/>
          <w:u w:val="single"/>
        </w:rPr>
        <w:tab/>
      </w:r>
      <w:r>
        <w:rPr>
          <w:color w:val="auto"/>
          <w:sz w:val="21"/>
        </w:rPr>
        <w:t>）</w:t>
      </w:r>
      <w:r>
        <w:rPr>
          <w:color w:val="auto"/>
          <w:spacing w:val="-14"/>
          <w:sz w:val="21"/>
        </w:rPr>
        <w:t xml:space="preserve"> </w:t>
      </w:r>
      <w:r>
        <w:rPr>
          <w:color w:val="auto"/>
          <w:sz w:val="21"/>
        </w:rPr>
        <w:t>。</w:t>
      </w:r>
    </w:p>
    <w:p>
      <w:pPr>
        <w:pStyle w:val="8"/>
        <w:spacing w:before="4"/>
        <w:rPr>
          <w:color w:val="auto"/>
          <w:sz w:val="10"/>
        </w:rPr>
      </w:pPr>
    </w:p>
    <w:p>
      <w:pPr>
        <w:pStyle w:val="44"/>
        <w:numPr>
          <w:ilvl w:val="0"/>
          <w:numId w:val="93"/>
        </w:numPr>
        <w:tabs>
          <w:tab w:val="left" w:pos="1386"/>
          <w:tab w:val="left" w:pos="3192"/>
          <w:tab w:val="left" w:pos="3796"/>
          <w:tab w:val="left" w:pos="4502"/>
          <w:tab w:val="left" w:pos="5513"/>
          <w:tab w:val="left" w:pos="6118"/>
          <w:tab w:val="left" w:pos="6823"/>
        </w:tabs>
        <w:spacing w:before="79"/>
        <w:ind w:hanging="314"/>
        <w:rPr>
          <w:color w:val="auto"/>
          <w:sz w:val="21"/>
        </w:rPr>
      </w:pPr>
      <w:r>
        <w:rPr>
          <w:color w:val="auto"/>
          <w:spacing w:val="-10"/>
          <w:sz w:val="21"/>
        </w:rPr>
        <w:t>保函有</w:t>
      </w:r>
      <w:r>
        <w:rPr>
          <w:color w:val="auto"/>
          <w:spacing w:val="-8"/>
          <w:sz w:val="21"/>
        </w:rPr>
        <w:t>效</w:t>
      </w:r>
      <w:r>
        <w:rPr>
          <w:color w:val="auto"/>
          <w:spacing w:val="-10"/>
          <w:sz w:val="21"/>
        </w:rPr>
        <w:t>期</w:t>
      </w:r>
      <w:r>
        <w:rPr>
          <w:color w:val="auto"/>
          <w:spacing w:val="-8"/>
          <w:sz w:val="21"/>
        </w:rPr>
        <w:t>自</w:t>
      </w:r>
      <w:r>
        <w:rPr>
          <w:color w:val="auto"/>
          <w:spacing w:val="-8"/>
          <w:sz w:val="21"/>
          <w:u w:val="single"/>
        </w:rPr>
        <w:t xml:space="preserve"> </w:t>
      </w:r>
      <w:r>
        <w:rPr>
          <w:color w:val="auto"/>
          <w:spacing w:val="-8"/>
          <w:sz w:val="21"/>
          <w:u w:val="single"/>
        </w:rPr>
        <w:tab/>
      </w:r>
      <w:r>
        <w:rPr>
          <w:color w:val="auto"/>
          <w:spacing w:val="-8"/>
          <w:sz w:val="21"/>
        </w:rPr>
        <w:t>年</w:t>
      </w:r>
      <w:r>
        <w:rPr>
          <w:color w:val="auto"/>
          <w:spacing w:val="-8"/>
          <w:sz w:val="21"/>
          <w:u w:val="single"/>
        </w:rPr>
        <w:t xml:space="preserve"> </w:t>
      </w:r>
      <w:r>
        <w:rPr>
          <w:color w:val="auto"/>
          <w:spacing w:val="-8"/>
          <w:sz w:val="21"/>
          <w:u w:val="single"/>
        </w:rPr>
        <w:tab/>
      </w:r>
      <w:r>
        <w:rPr>
          <w:color w:val="auto"/>
          <w:spacing w:val="-8"/>
          <w:sz w:val="21"/>
        </w:rPr>
        <w:t>月</w:t>
      </w:r>
      <w:r>
        <w:rPr>
          <w:color w:val="auto"/>
          <w:spacing w:val="-8"/>
          <w:sz w:val="21"/>
          <w:u w:val="single"/>
        </w:rPr>
        <w:t xml:space="preserve"> </w:t>
      </w:r>
      <w:r>
        <w:rPr>
          <w:color w:val="auto"/>
          <w:spacing w:val="-8"/>
          <w:sz w:val="21"/>
          <w:u w:val="single"/>
        </w:rPr>
        <w:tab/>
      </w:r>
      <w:r>
        <w:rPr>
          <w:color w:val="auto"/>
          <w:spacing w:val="-8"/>
          <w:sz w:val="21"/>
        </w:rPr>
        <w:t>日至</w:t>
      </w:r>
      <w:r>
        <w:rPr>
          <w:color w:val="auto"/>
          <w:spacing w:val="-8"/>
          <w:sz w:val="21"/>
          <w:u w:val="single"/>
        </w:rPr>
        <w:t xml:space="preserve"> </w:t>
      </w:r>
      <w:r>
        <w:rPr>
          <w:color w:val="auto"/>
          <w:spacing w:val="-8"/>
          <w:sz w:val="21"/>
          <w:u w:val="single"/>
        </w:rPr>
        <w:tab/>
      </w:r>
      <w:r>
        <w:rPr>
          <w:color w:val="auto"/>
          <w:spacing w:val="-8"/>
          <w:sz w:val="21"/>
        </w:rPr>
        <w:t>年</w:t>
      </w:r>
      <w:r>
        <w:rPr>
          <w:color w:val="auto"/>
          <w:spacing w:val="-8"/>
          <w:sz w:val="21"/>
          <w:u w:val="single"/>
        </w:rPr>
        <w:t xml:space="preserve"> </w:t>
      </w:r>
      <w:r>
        <w:rPr>
          <w:color w:val="auto"/>
          <w:spacing w:val="-8"/>
          <w:sz w:val="21"/>
          <w:u w:val="single"/>
        </w:rPr>
        <w:tab/>
      </w:r>
      <w:r>
        <w:rPr>
          <w:color w:val="auto"/>
          <w:spacing w:val="-8"/>
          <w:sz w:val="21"/>
        </w:rPr>
        <w:t>月</w:t>
      </w:r>
      <w:r>
        <w:rPr>
          <w:color w:val="auto"/>
          <w:spacing w:val="-8"/>
          <w:sz w:val="21"/>
          <w:u w:val="single"/>
        </w:rPr>
        <w:t xml:space="preserve"> </w:t>
      </w:r>
      <w:r>
        <w:rPr>
          <w:color w:val="auto"/>
          <w:spacing w:val="-8"/>
          <w:sz w:val="21"/>
          <w:u w:val="single"/>
        </w:rPr>
        <w:tab/>
      </w:r>
      <w:r>
        <w:rPr>
          <w:color w:val="auto"/>
          <w:spacing w:val="-8"/>
          <w:sz w:val="21"/>
        </w:rPr>
        <w:t>日</w:t>
      </w:r>
      <w:r>
        <w:rPr>
          <w:color w:val="auto"/>
          <w:spacing w:val="-10"/>
          <w:sz w:val="21"/>
        </w:rPr>
        <w:t>止</w:t>
      </w:r>
      <w:r>
        <w:rPr>
          <w:color w:val="auto"/>
          <w:sz w:val="21"/>
        </w:rPr>
        <w:t>。</w:t>
      </w:r>
    </w:p>
    <w:p>
      <w:pPr>
        <w:pStyle w:val="8"/>
        <w:spacing w:before="6"/>
        <w:rPr>
          <w:color w:val="auto"/>
          <w:sz w:val="16"/>
        </w:rPr>
      </w:pPr>
    </w:p>
    <w:p>
      <w:pPr>
        <w:pStyle w:val="44"/>
        <w:numPr>
          <w:ilvl w:val="0"/>
          <w:numId w:val="93"/>
        </w:numPr>
        <w:tabs>
          <w:tab w:val="left" w:pos="1386"/>
        </w:tabs>
        <w:spacing w:line="427" w:lineRule="auto"/>
        <w:ind w:left="669" w:right="925" w:firstLine="403"/>
        <w:jc w:val="both"/>
        <w:rPr>
          <w:color w:val="auto"/>
          <w:sz w:val="21"/>
        </w:rPr>
      </w:pPr>
      <w:r>
        <w:rPr>
          <w:color w:val="auto"/>
          <w:spacing w:val="-15"/>
          <w:sz w:val="21"/>
        </w:rPr>
        <w:t xml:space="preserve">在本保函有效期内，投标人存在下列未履行相关投标义务情形之一的，我方在收到你方提 </w:t>
      </w:r>
      <w:r>
        <w:rPr>
          <w:color w:val="auto"/>
          <w:spacing w:val="-22"/>
          <w:sz w:val="21"/>
        </w:rPr>
        <w:t xml:space="preserve">出的书面索赔通知以及本保函原件后，在 </w:t>
      </w:r>
      <w:r>
        <w:rPr>
          <w:rFonts w:ascii="Times New Roman" w:eastAsia="Times New Roman"/>
          <w:color w:val="auto"/>
          <w:spacing w:val="-3"/>
          <w:sz w:val="21"/>
        </w:rPr>
        <w:t>10</w:t>
      </w:r>
      <w:r>
        <w:rPr>
          <w:rFonts w:ascii="Times New Roman" w:eastAsia="Times New Roman"/>
          <w:color w:val="auto"/>
          <w:spacing w:val="1"/>
          <w:sz w:val="21"/>
        </w:rPr>
        <w:t xml:space="preserve"> </w:t>
      </w:r>
      <w:r>
        <w:rPr>
          <w:color w:val="auto"/>
          <w:spacing w:val="-13"/>
          <w:sz w:val="21"/>
        </w:rPr>
        <w:t xml:space="preserve">个工作日内支付累计总额不超过本保函第 </w:t>
      </w:r>
      <w:r>
        <w:rPr>
          <w:rFonts w:ascii="Times New Roman" w:eastAsia="Times New Roman"/>
          <w:color w:val="auto"/>
          <w:sz w:val="21"/>
        </w:rPr>
        <w:t xml:space="preserve">1 </w:t>
      </w:r>
      <w:r>
        <w:rPr>
          <w:color w:val="auto"/>
          <w:spacing w:val="-10"/>
          <w:sz w:val="21"/>
        </w:rPr>
        <w:t>款约定的经</w:t>
      </w:r>
      <w:r>
        <w:rPr>
          <w:color w:val="auto"/>
          <w:spacing w:val="-9"/>
          <w:sz w:val="21"/>
        </w:rPr>
        <w:t>济补偿金。</w:t>
      </w:r>
    </w:p>
    <w:p>
      <w:pPr>
        <w:pStyle w:val="44"/>
        <w:numPr>
          <w:ilvl w:val="0"/>
          <w:numId w:val="94"/>
        </w:numPr>
        <w:tabs>
          <w:tab w:val="left" w:pos="1587"/>
        </w:tabs>
        <w:spacing w:before="3"/>
        <w:rPr>
          <w:color w:val="auto"/>
          <w:sz w:val="21"/>
        </w:rPr>
      </w:pPr>
      <w:r>
        <w:rPr>
          <w:color w:val="auto"/>
          <w:spacing w:val="-10"/>
          <w:sz w:val="21"/>
        </w:rPr>
        <w:t>投标人拒绝按照招标文件、投标文件或中标通知书要求与你方签订合同；</w:t>
      </w:r>
    </w:p>
    <w:p>
      <w:pPr>
        <w:pStyle w:val="8"/>
        <w:spacing w:before="6"/>
        <w:rPr>
          <w:color w:val="auto"/>
          <w:sz w:val="16"/>
        </w:rPr>
      </w:pPr>
    </w:p>
    <w:p>
      <w:pPr>
        <w:pStyle w:val="44"/>
        <w:numPr>
          <w:ilvl w:val="0"/>
          <w:numId w:val="94"/>
        </w:numPr>
        <w:tabs>
          <w:tab w:val="left" w:pos="1587"/>
        </w:tabs>
        <w:spacing w:line="427" w:lineRule="auto"/>
        <w:ind w:left="669" w:right="926" w:firstLine="403"/>
        <w:rPr>
          <w:color w:val="auto"/>
          <w:sz w:val="21"/>
        </w:rPr>
      </w:pPr>
      <w:r>
        <w:rPr>
          <w:color w:val="auto"/>
          <w:spacing w:val="-18"/>
          <w:sz w:val="21"/>
        </w:rPr>
        <w:t xml:space="preserve">投标截止后，投标人要求修改、补充或撤销投标文件的实质性内容或者要求更改招标文 </w:t>
      </w:r>
      <w:r>
        <w:rPr>
          <w:color w:val="auto"/>
          <w:spacing w:val="-10"/>
          <w:sz w:val="21"/>
        </w:rPr>
        <w:t>件和中标通知书的实质性内容；</w:t>
      </w:r>
    </w:p>
    <w:p>
      <w:pPr>
        <w:pStyle w:val="44"/>
        <w:numPr>
          <w:ilvl w:val="0"/>
          <w:numId w:val="94"/>
        </w:numPr>
        <w:tabs>
          <w:tab w:val="left" w:pos="1587"/>
        </w:tabs>
        <w:spacing w:before="2"/>
        <w:rPr>
          <w:rFonts w:ascii="Times New Roman" w:eastAsia="Times New Roman"/>
          <w:color w:val="auto"/>
          <w:sz w:val="21"/>
        </w:rPr>
      </w:pPr>
      <w:r>
        <w:rPr>
          <w:color w:val="auto"/>
          <w:spacing w:val="-11"/>
          <w:sz w:val="21"/>
        </w:rPr>
        <w:t>投标人拒绝按招标文件规定的时间、金额、形式提交履约担保</w:t>
      </w:r>
      <w:r>
        <w:rPr>
          <w:rFonts w:ascii="Times New Roman" w:eastAsia="Times New Roman"/>
          <w:color w:val="auto"/>
          <w:sz w:val="21"/>
        </w:rPr>
        <w:t>;</w:t>
      </w:r>
    </w:p>
    <w:p>
      <w:pPr>
        <w:pStyle w:val="8"/>
        <w:spacing w:before="5"/>
        <w:rPr>
          <w:rFonts w:ascii="Times New Roman"/>
          <w:color w:val="auto"/>
          <w:sz w:val="18"/>
        </w:rPr>
      </w:pPr>
    </w:p>
    <w:p>
      <w:pPr>
        <w:pStyle w:val="8"/>
        <w:spacing w:line="427" w:lineRule="auto"/>
        <w:ind w:left="669" w:right="926" w:firstLine="715"/>
        <w:rPr>
          <w:color w:val="auto"/>
        </w:rPr>
      </w:pPr>
      <w:r>
        <w:rPr>
          <w:rFonts w:ascii="Times New Roman" w:eastAsia="Times New Roman"/>
          <w:color w:val="auto"/>
          <w:spacing w:val="-3"/>
        </w:rPr>
        <w:t>(4</w:t>
      </w:r>
      <w:r>
        <w:rPr>
          <w:rFonts w:ascii="Times New Roman" w:eastAsia="Times New Roman"/>
          <w:color w:val="auto"/>
          <w:spacing w:val="13"/>
        </w:rPr>
        <w:t xml:space="preserve">) </w:t>
      </w:r>
      <w:r>
        <w:rPr>
          <w:color w:val="auto"/>
          <w:spacing w:val="-13"/>
        </w:rPr>
        <w:t>投标人在投标截止后撤销投标文件，但招标文件未载明投标人在投标截止后撤销投标文</w:t>
      </w:r>
      <w:r>
        <w:rPr>
          <w:color w:val="auto"/>
          <w:spacing w:val="-10"/>
        </w:rPr>
        <w:t>件，应当由保函开立人支付经济补偿金的除外。</w:t>
      </w:r>
    </w:p>
    <w:p>
      <w:pPr>
        <w:pStyle w:val="44"/>
        <w:numPr>
          <w:ilvl w:val="0"/>
          <w:numId w:val="93"/>
        </w:numPr>
        <w:tabs>
          <w:tab w:val="left" w:pos="1386"/>
        </w:tabs>
        <w:spacing w:before="2"/>
        <w:ind w:hanging="314"/>
        <w:rPr>
          <w:color w:val="auto"/>
          <w:sz w:val="21"/>
        </w:rPr>
      </w:pPr>
      <w:r>
        <w:rPr>
          <w:color w:val="auto"/>
          <w:spacing w:val="-10"/>
          <w:sz w:val="21"/>
        </w:rPr>
        <w:t>你方的索赔通知，应当符合下列要求：</w:t>
      </w:r>
    </w:p>
    <w:p>
      <w:pPr>
        <w:pStyle w:val="8"/>
        <w:spacing w:before="6"/>
        <w:rPr>
          <w:color w:val="auto"/>
          <w:sz w:val="16"/>
        </w:rPr>
      </w:pPr>
    </w:p>
    <w:p>
      <w:pPr>
        <w:pStyle w:val="8"/>
        <w:ind w:left="1072"/>
        <w:rPr>
          <w:color w:val="auto"/>
        </w:rPr>
      </w:pPr>
      <w:r>
        <w:rPr>
          <w:color w:val="auto"/>
        </w:rPr>
        <w:t>（</w:t>
      </w:r>
      <w:r>
        <w:rPr>
          <w:rFonts w:ascii="Times New Roman" w:eastAsia="Times New Roman"/>
          <w:color w:val="auto"/>
        </w:rPr>
        <w:t>1</w:t>
      </w:r>
      <w:r>
        <w:rPr>
          <w:color w:val="auto"/>
        </w:rPr>
        <w:t>）索赔通知应当列明索赔金额，由你方加盖单位公章和法定代表人印章；</w:t>
      </w:r>
    </w:p>
    <w:p>
      <w:pPr>
        <w:pStyle w:val="8"/>
        <w:rPr>
          <w:color w:val="auto"/>
          <w:sz w:val="26"/>
        </w:rPr>
      </w:pPr>
    </w:p>
    <w:p>
      <w:pPr>
        <w:pStyle w:val="8"/>
        <w:ind w:left="669"/>
        <w:rPr>
          <w:color w:val="auto"/>
        </w:rPr>
      </w:pPr>
      <w:r>
        <w:rPr>
          <w:color w:val="auto"/>
        </w:rPr>
        <w:t>（</w:t>
      </w:r>
      <w:r>
        <w:rPr>
          <w:rFonts w:ascii="Times New Roman" w:eastAsia="Times New Roman"/>
          <w:color w:val="auto"/>
        </w:rPr>
        <w:t>2</w:t>
      </w:r>
      <w:r>
        <w:rPr>
          <w:color w:val="auto"/>
        </w:rPr>
        <w:t>）提交索赔通知的同时出具一份书面申明，申明索赔款项并未由中标人或其委托代理人直接或间</w:t>
      </w:r>
    </w:p>
    <w:p>
      <w:pPr>
        <w:rPr>
          <w:color w:val="auto"/>
        </w:rPr>
        <w:sectPr>
          <w:pgSz w:w="11910" w:h="16840"/>
          <w:pgMar w:top="1580" w:right="700" w:bottom="1040" w:left="920" w:header="0" w:footer="854" w:gutter="0"/>
          <w:cols w:space="720" w:num="1"/>
        </w:sectPr>
      </w:pPr>
    </w:p>
    <w:p>
      <w:pPr>
        <w:pStyle w:val="8"/>
        <w:rPr>
          <w:color w:val="auto"/>
          <w:sz w:val="20"/>
        </w:rPr>
      </w:pPr>
    </w:p>
    <w:p>
      <w:pPr>
        <w:pStyle w:val="8"/>
        <w:spacing w:before="5"/>
        <w:rPr>
          <w:color w:val="auto"/>
          <w:sz w:val="19"/>
        </w:rPr>
      </w:pPr>
    </w:p>
    <w:p>
      <w:pPr>
        <w:pStyle w:val="8"/>
        <w:spacing w:before="1"/>
        <w:ind w:left="669"/>
        <w:rPr>
          <w:color w:val="auto"/>
        </w:rPr>
      </w:pPr>
      <w:r>
        <w:rPr>
          <w:color w:val="auto"/>
        </w:rPr>
        <w:t>接地支付给你方</w:t>
      </w:r>
    </w:p>
    <w:p>
      <w:pPr>
        <w:pStyle w:val="8"/>
        <w:rPr>
          <w:color w:val="auto"/>
          <w:sz w:val="20"/>
        </w:rPr>
      </w:pPr>
    </w:p>
    <w:p>
      <w:pPr>
        <w:pStyle w:val="8"/>
        <w:spacing w:before="8"/>
        <w:rPr>
          <w:color w:val="auto"/>
          <w:sz w:val="16"/>
        </w:rPr>
      </w:pPr>
    </w:p>
    <w:p>
      <w:pPr>
        <w:pStyle w:val="8"/>
        <w:tabs>
          <w:tab w:val="left" w:pos="5210"/>
        </w:tabs>
        <w:spacing w:line="427" w:lineRule="auto"/>
        <w:ind w:left="669" w:right="938" w:firstLine="403"/>
        <w:rPr>
          <w:color w:val="auto"/>
        </w:rPr>
      </w:pPr>
      <w:r>
        <w:rPr>
          <w:color w:val="auto"/>
        </w:rPr>
        <w:t>（</w:t>
      </w:r>
      <w:r>
        <w:rPr>
          <w:color w:val="auto"/>
          <w:spacing w:val="13"/>
        </w:rPr>
        <w:t xml:space="preserve"> </w:t>
      </w:r>
      <w:r>
        <w:rPr>
          <w:rFonts w:ascii="Times New Roman" w:eastAsia="Times New Roman"/>
          <w:color w:val="auto"/>
        </w:rPr>
        <w:t>3</w:t>
      </w:r>
      <w:r>
        <w:rPr>
          <w:rFonts w:ascii="Times New Roman" w:eastAsia="Times New Roman"/>
          <w:color w:val="auto"/>
          <w:spacing w:val="16"/>
        </w:rPr>
        <w:t xml:space="preserve"> </w:t>
      </w:r>
      <w:r>
        <w:rPr>
          <w:color w:val="auto"/>
        </w:rPr>
        <w:t>） 索 赔 通 知 书 必 须 在 本 保 函 有 效 期 内 邮 寄 或 送 达 以 下 地址：</w:t>
      </w:r>
      <w:r>
        <w:rPr>
          <w:color w:val="auto"/>
          <w:spacing w:val="-8"/>
          <w:u w:val="single"/>
        </w:rPr>
        <w:t xml:space="preserve"> </w:t>
      </w:r>
      <w:r>
        <w:rPr>
          <w:color w:val="auto"/>
          <w:spacing w:val="-8"/>
          <w:u w:val="single"/>
        </w:rPr>
        <w:tab/>
      </w:r>
      <w:r>
        <w:rPr>
          <w:color w:val="auto"/>
        </w:rPr>
        <w:t>。</w:t>
      </w:r>
    </w:p>
    <w:p>
      <w:pPr>
        <w:pStyle w:val="44"/>
        <w:numPr>
          <w:ilvl w:val="0"/>
          <w:numId w:val="93"/>
        </w:numPr>
        <w:tabs>
          <w:tab w:val="left" w:pos="1386"/>
        </w:tabs>
        <w:spacing w:before="3"/>
        <w:ind w:hanging="314"/>
        <w:rPr>
          <w:color w:val="auto"/>
          <w:sz w:val="21"/>
        </w:rPr>
      </w:pPr>
      <w:r>
        <w:rPr>
          <w:color w:val="auto"/>
          <w:spacing w:val="-16"/>
          <w:sz w:val="21"/>
        </w:rPr>
        <w:t>本保函有效期届满，无论是否将保函原件退回我方，本保函自行失效。我方在本保函</w:t>
      </w:r>
      <w:r>
        <w:rPr>
          <w:strike/>
          <w:color w:val="auto"/>
          <w:spacing w:val="-10"/>
          <w:sz w:val="21"/>
        </w:rPr>
        <w:t>（</w:t>
      </w:r>
      <w:r>
        <w:rPr>
          <w:color w:val="auto"/>
          <w:spacing w:val="-10"/>
          <w:sz w:val="21"/>
        </w:rPr>
        <w:t>项下</w:t>
      </w:r>
    </w:p>
    <w:p>
      <w:pPr>
        <w:pStyle w:val="8"/>
        <w:spacing w:before="11"/>
        <w:rPr>
          <w:color w:val="auto"/>
          <w:sz w:val="10"/>
        </w:rPr>
      </w:pPr>
    </w:p>
    <w:p>
      <w:pPr>
        <w:pStyle w:val="8"/>
        <w:spacing w:before="71"/>
        <w:ind w:left="669"/>
        <w:rPr>
          <w:color w:val="auto"/>
        </w:rPr>
      </w:pPr>
      <w:r>
        <w:rPr>
          <w:color w:val="auto"/>
        </w:rPr>
        <w:t>的保证责任解除，此后提出的要求我方履行担保责任的主张无效。</w:t>
      </w:r>
    </w:p>
    <w:p>
      <w:pPr>
        <w:pStyle w:val="8"/>
        <w:spacing w:before="6"/>
        <w:rPr>
          <w:color w:val="auto"/>
          <w:sz w:val="16"/>
        </w:rPr>
      </w:pPr>
    </w:p>
    <w:p>
      <w:pPr>
        <w:pStyle w:val="8"/>
        <w:tabs>
          <w:tab w:val="left" w:pos="5208"/>
        </w:tabs>
        <w:ind w:left="2685"/>
        <w:rPr>
          <w:color w:val="auto"/>
        </w:rPr>
      </w:pPr>
      <w:r>
        <w:rPr>
          <w:color w:val="auto"/>
          <w:spacing w:val="-10"/>
        </w:rPr>
        <w:t>开立人</w:t>
      </w:r>
      <w:r>
        <w:rPr>
          <w:color w:val="auto"/>
          <w:spacing w:val="-7"/>
        </w:rPr>
        <w:t>：</w:t>
      </w:r>
      <w:r>
        <w:rPr>
          <w:color w:val="auto"/>
          <w:spacing w:val="-7"/>
          <w:u w:val="single"/>
        </w:rPr>
        <w:t xml:space="preserve"> </w:t>
      </w:r>
      <w:r>
        <w:rPr>
          <w:color w:val="auto"/>
          <w:spacing w:val="-7"/>
          <w:u w:val="single"/>
        </w:rPr>
        <w:tab/>
      </w:r>
      <w:r>
        <w:rPr>
          <w:color w:val="auto"/>
          <w:spacing w:val="-10"/>
        </w:rPr>
        <w:t>（盖章）</w:t>
      </w:r>
    </w:p>
    <w:p>
      <w:pPr>
        <w:pStyle w:val="8"/>
        <w:spacing w:before="5"/>
        <w:rPr>
          <w:color w:val="auto"/>
          <w:sz w:val="10"/>
        </w:rPr>
      </w:pPr>
    </w:p>
    <w:p>
      <w:pPr>
        <w:pStyle w:val="8"/>
        <w:tabs>
          <w:tab w:val="left" w:pos="3560"/>
        </w:tabs>
        <w:spacing w:before="79"/>
        <w:ind w:left="29"/>
        <w:jc w:val="center"/>
        <w:rPr>
          <w:color w:val="auto"/>
        </w:rPr>
      </w:pPr>
      <w:r>
        <w:rPr>
          <w:color w:val="auto"/>
          <w:spacing w:val="-10"/>
        </w:rPr>
        <w:t>法定代表人</w:t>
      </w:r>
      <w:r>
        <w:rPr>
          <w:color w:val="auto"/>
          <w:spacing w:val="-8"/>
        </w:rPr>
        <w:t>（</w:t>
      </w:r>
      <w:r>
        <w:rPr>
          <w:color w:val="auto"/>
          <w:spacing w:val="-10"/>
        </w:rPr>
        <w:t>负责人</w:t>
      </w:r>
      <w:r>
        <w:rPr>
          <w:color w:val="auto"/>
          <w:spacing w:val="-9"/>
        </w:rPr>
        <w:t>）：</w:t>
      </w:r>
      <w:r>
        <w:rPr>
          <w:color w:val="auto"/>
          <w:spacing w:val="-9"/>
          <w:u w:val="single"/>
        </w:rPr>
        <w:t xml:space="preserve"> </w:t>
      </w:r>
      <w:r>
        <w:rPr>
          <w:color w:val="auto"/>
          <w:spacing w:val="-9"/>
          <w:u w:val="single"/>
        </w:rPr>
        <w:tab/>
      </w:r>
      <w:r>
        <w:rPr>
          <w:color w:val="auto"/>
          <w:spacing w:val="-8"/>
        </w:rPr>
        <w:t>（</w:t>
      </w:r>
      <w:r>
        <w:rPr>
          <w:color w:val="auto"/>
          <w:spacing w:val="-10"/>
        </w:rPr>
        <w:t>签字或盖章</w:t>
      </w:r>
      <w:r>
        <w:rPr>
          <w:color w:val="auto"/>
        </w:rPr>
        <w:t>）</w:t>
      </w:r>
    </w:p>
    <w:p>
      <w:pPr>
        <w:pStyle w:val="8"/>
        <w:spacing w:before="4"/>
        <w:rPr>
          <w:color w:val="auto"/>
          <w:sz w:val="10"/>
        </w:rPr>
      </w:pPr>
    </w:p>
    <w:p>
      <w:pPr>
        <w:pStyle w:val="8"/>
        <w:tabs>
          <w:tab w:val="left" w:pos="6365"/>
        </w:tabs>
        <w:spacing w:before="79"/>
        <w:ind w:left="2685"/>
        <w:rPr>
          <w:rFonts w:ascii="Times New Roman" w:eastAsia="Times New Roman"/>
          <w:color w:val="auto"/>
        </w:rPr>
      </w:pPr>
      <w:r>
        <w:rPr>
          <w:color w:val="auto"/>
          <w:spacing w:val="-10"/>
        </w:rPr>
        <w:t>地址</w:t>
      </w:r>
      <w:r>
        <w:rPr>
          <w:color w:val="auto"/>
          <w:spacing w:val="-7"/>
        </w:rPr>
        <w:t>：</w:t>
      </w:r>
      <w:r>
        <w:rPr>
          <w:rFonts w:ascii="Times New Roman" w:eastAsia="Times New Roman"/>
          <w:color w:val="auto"/>
          <w:u w:val="single"/>
        </w:rPr>
        <w:t xml:space="preserve"> </w:t>
      </w:r>
      <w:r>
        <w:rPr>
          <w:rFonts w:ascii="Times New Roman" w:eastAsia="Times New Roman"/>
          <w:color w:val="auto"/>
          <w:u w:val="single"/>
        </w:rPr>
        <w:tab/>
      </w:r>
    </w:p>
    <w:p>
      <w:pPr>
        <w:pStyle w:val="8"/>
        <w:spacing w:before="6"/>
        <w:rPr>
          <w:rFonts w:ascii="Times New Roman"/>
          <w:color w:val="auto"/>
          <w:sz w:val="11"/>
        </w:rPr>
      </w:pPr>
    </w:p>
    <w:p>
      <w:pPr>
        <w:pStyle w:val="8"/>
        <w:tabs>
          <w:tab w:val="left" w:pos="5457"/>
        </w:tabs>
        <w:spacing w:before="78"/>
        <w:ind w:left="2685"/>
        <w:rPr>
          <w:rFonts w:ascii="Times New Roman" w:eastAsia="Times New Roman"/>
          <w:color w:val="auto"/>
        </w:rPr>
      </w:pPr>
      <w:r>
        <w:rPr>
          <w:color w:val="auto"/>
          <w:spacing w:val="-10"/>
        </w:rPr>
        <w:t>电话</w:t>
      </w:r>
      <w:r>
        <w:rPr>
          <w:color w:val="auto"/>
          <w:spacing w:val="-7"/>
        </w:rPr>
        <w:t>：</w:t>
      </w:r>
      <w:r>
        <w:rPr>
          <w:rFonts w:ascii="Times New Roman" w:eastAsia="Times New Roman"/>
          <w:color w:val="auto"/>
          <w:u w:val="single"/>
        </w:rPr>
        <w:t xml:space="preserve"> </w:t>
      </w:r>
      <w:r>
        <w:rPr>
          <w:rFonts w:ascii="Times New Roman" w:eastAsia="Times New Roman"/>
          <w:color w:val="auto"/>
          <w:u w:val="single"/>
        </w:rPr>
        <w:tab/>
      </w:r>
    </w:p>
    <w:p>
      <w:pPr>
        <w:pStyle w:val="8"/>
        <w:spacing w:before="6"/>
        <w:rPr>
          <w:rFonts w:ascii="Times New Roman"/>
          <w:color w:val="auto"/>
          <w:sz w:val="11"/>
        </w:rPr>
      </w:pPr>
    </w:p>
    <w:p>
      <w:pPr>
        <w:pStyle w:val="8"/>
        <w:tabs>
          <w:tab w:val="left" w:pos="4550"/>
        </w:tabs>
        <w:spacing w:before="79"/>
        <w:ind w:left="2685"/>
        <w:rPr>
          <w:rFonts w:ascii="Times New Roman" w:eastAsia="Times New Roman"/>
          <w:color w:val="auto"/>
        </w:rPr>
      </w:pPr>
      <w:r>
        <w:rPr>
          <w:color w:val="auto"/>
          <w:spacing w:val="-10"/>
        </w:rPr>
        <w:t>传真</w:t>
      </w:r>
      <w:r>
        <w:rPr>
          <w:color w:val="auto"/>
          <w:spacing w:val="-7"/>
        </w:rPr>
        <w:t>：</w:t>
      </w:r>
      <w:r>
        <w:rPr>
          <w:rFonts w:ascii="Times New Roman" w:eastAsia="Times New Roman"/>
          <w:color w:val="auto"/>
          <w:u w:val="single"/>
        </w:rPr>
        <w:t xml:space="preserve"> </w:t>
      </w:r>
      <w:r>
        <w:rPr>
          <w:rFonts w:ascii="Times New Roman" w:eastAsia="Times New Roman"/>
          <w:color w:val="auto"/>
          <w:u w:val="single"/>
        </w:rPr>
        <w:tab/>
      </w:r>
    </w:p>
    <w:p>
      <w:pPr>
        <w:pStyle w:val="8"/>
        <w:spacing w:before="1"/>
        <w:rPr>
          <w:rFonts w:ascii="Times New Roman"/>
          <w:color w:val="auto"/>
          <w:sz w:val="22"/>
        </w:rPr>
      </w:pPr>
    </w:p>
    <w:p>
      <w:pPr>
        <w:pStyle w:val="8"/>
        <w:tabs>
          <w:tab w:val="left" w:pos="705"/>
          <w:tab w:val="left" w:pos="1312"/>
          <w:tab w:val="left" w:pos="1917"/>
        </w:tabs>
        <w:spacing w:before="79"/>
        <w:ind w:right="964"/>
        <w:jc w:val="center"/>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8"/>
        </w:rPr>
        <w:t>年</w:t>
      </w:r>
      <w:r>
        <w:rPr>
          <w:color w:val="auto"/>
          <w:spacing w:val="-8"/>
          <w:u w:val="single"/>
        </w:rPr>
        <w:t xml:space="preserve"> </w:t>
      </w:r>
      <w:r>
        <w:rPr>
          <w:color w:val="auto"/>
          <w:spacing w:val="-8"/>
          <w:u w:val="single"/>
        </w:rPr>
        <w:tab/>
      </w:r>
      <w:r>
        <w:rPr>
          <w:color w:val="auto"/>
          <w:spacing w:val="-8"/>
        </w:rPr>
        <w:t>月</w:t>
      </w:r>
      <w:r>
        <w:rPr>
          <w:color w:val="auto"/>
          <w:spacing w:val="-8"/>
          <w:u w:val="single"/>
        </w:rPr>
        <w:t xml:space="preserve"> </w:t>
      </w:r>
      <w:r>
        <w:rPr>
          <w:color w:val="auto"/>
          <w:spacing w:val="-8"/>
          <w:u w:val="single"/>
        </w:rPr>
        <w:tab/>
      </w:r>
      <w:r>
        <w:rPr>
          <w:color w:val="auto"/>
        </w:rPr>
        <w:t>日</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7"/>
        </w:rPr>
      </w:pPr>
    </w:p>
    <w:p>
      <w:pPr>
        <w:pStyle w:val="8"/>
        <w:spacing w:before="72" w:line="427" w:lineRule="auto"/>
        <w:ind w:left="669" w:right="924"/>
        <w:rPr>
          <w:color w:val="auto"/>
        </w:rPr>
      </w:pPr>
      <w:r>
        <w:rPr>
          <w:color w:val="auto"/>
          <w:spacing w:val="-11"/>
        </w:rPr>
        <w:t>说明：保函开立人可以根据项目具体情况增加相关条款，但不得违背招标文件的实质性内容，以及</w:t>
      </w:r>
      <w:r>
        <w:rPr>
          <w:color w:val="auto"/>
          <w:spacing w:val="-9"/>
        </w:rPr>
        <w:t>相关法律法规的规定。</w:t>
      </w:r>
    </w:p>
    <w:p>
      <w:pPr>
        <w:spacing w:line="427" w:lineRule="auto"/>
        <w:rPr>
          <w:color w:val="auto"/>
        </w:rPr>
        <w:sectPr>
          <w:pgSz w:w="11910" w:h="16840"/>
          <w:pgMar w:top="1580" w:right="700" w:bottom="1040" w:left="920" w:header="0" w:footer="854" w:gutter="0"/>
          <w:cols w:space="720" w:num="1"/>
        </w:sectPr>
      </w:pPr>
    </w:p>
    <w:p>
      <w:pPr>
        <w:pStyle w:val="37"/>
        <w:spacing w:before="43"/>
        <w:ind w:left="4" w:right="223"/>
        <w:jc w:val="center"/>
        <w:rPr>
          <w:color w:val="auto"/>
        </w:rPr>
      </w:pPr>
      <w:r>
        <w:rPr>
          <w:color w:val="auto"/>
        </w:rPr>
        <w:t>建设工程投标保证保险</w:t>
      </w:r>
    </w:p>
    <w:p>
      <w:pPr>
        <w:pStyle w:val="8"/>
        <w:spacing w:before="12"/>
        <w:rPr>
          <w:b/>
          <w:color w:val="auto"/>
          <w:sz w:val="35"/>
        </w:rPr>
      </w:pPr>
    </w:p>
    <w:p>
      <w:pPr>
        <w:pStyle w:val="8"/>
        <w:tabs>
          <w:tab w:val="left" w:pos="2620"/>
        </w:tabs>
        <w:ind w:left="100"/>
        <w:rPr>
          <w:color w:val="auto"/>
        </w:rPr>
      </w:pPr>
      <w:r>
        <w:rPr>
          <w:color w:val="auto"/>
          <w:u w:val="single"/>
        </w:rPr>
        <w:t xml:space="preserve"> </w:t>
      </w:r>
      <w:r>
        <w:rPr>
          <w:color w:val="auto"/>
          <w:u w:val="single"/>
        </w:rPr>
        <w:tab/>
      </w:r>
      <w:r>
        <w:rPr>
          <w:color w:val="auto"/>
          <w:u w:val="single"/>
        </w:rPr>
        <w:t xml:space="preserve"> （</w:t>
      </w:r>
      <w:r>
        <w:rPr>
          <w:color w:val="auto"/>
          <w:spacing w:val="-3"/>
          <w:u w:val="single"/>
        </w:rPr>
        <w:t>招标人名称</w:t>
      </w:r>
      <w:r>
        <w:rPr>
          <w:color w:val="auto"/>
          <w:u w:val="single"/>
        </w:rPr>
        <w:t>）</w:t>
      </w:r>
      <w:r>
        <w:rPr>
          <w:color w:val="auto"/>
        </w:rPr>
        <w:t>：</w:t>
      </w:r>
    </w:p>
    <w:p>
      <w:pPr>
        <w:pStyle w:val="8"/>
        <w:spacing w:before="112" w:line="338" w:lineRule="auto"/>
        <w:ind w:left="100" w:right="313" w:firstLine="420"/>
        <w:rPr>
          <w:color w:val="auto"/>
        </w:rPr>
      </w:pPr>
      <w:r>
        <w:rPr>
          <w:color w:val="auto"/>
        </w:rPr>
        <w:t>鉴于</w:t>
      </w:r>
      <w:r>
        <w:rPr>
          <w:color w:val="auto"/>
          <w:u w:val="single"/>
        </w:rPr>
        <w:t xml:space="preserve">     投标人名称               </w:t>
      </w:r>
      <w:r>
        <w:rPr>
          <w:color w:val="auto"/>
        </w:rPr>
        <w:t>（以下简称“投标人”）于</w:t>
      </w:r>
      <w:r>
        <w:rPr>
          <w:color w:val="auto"/>
          <w:u w:val="single"/>
        </w:rPr>
        <w:t xml:space="preserve">      </w:t>
      </w:r>
      <w:r>
        <w:rPr>
          <w:color w:val="auto"/>
        </w:rPr>
        <w:t>年</w:t>
      </w:r>
      <w:r>
        <w:rPr>
          <w:color w:val="auto"/>
          <w:u w:val="single"/>
        </w:rPr>
        <w:t xml:space="preserve">    </w:t>
      </w:r>
      <w:r>
        <w:rPr>
          <w:color w:val="auto"/>
        </w:rPr>
        <w:t xml:space="preserve">月 </w:t>
      </w:r>
      <w:r>
        <w:rPr>
          <w:color w:val="auto"/>
          <w:u w:val="single"/>
        </w:rPr>
        <w:t xml:space="preserve">    </w:t>
      </w:r>
      <w:r>
        <w:rPr>
          <w:color w:val="auto"/>
        </w:rPr>
        <w:t>日参加你方组织的</w:t>
      </w:r>
      <w:r>
        <w:rPr>
          <w:color w:val="auto"/>
          <w:u w:val="single"/>
        </w:rPr>
        <w:t xml:space="preserve"> 招标项目及标段 </w:t>
      </w:r>
      <w:r>
        <w:rPr>
          <w:color w:val="auto"/>
        </w:rPr>
        <w:t>施工的招标投标，并向我方投保建设工程投标保证保险（保险单</w:t>
      </w:r>
    </w:p>
    <w:p>
      <w:pPr>
        <w:pStyle w:val="8"/>
        <w:spacing w:line="340" w:lineRule="auto"/>
        <w:ind w:left="520" w:right="832" w:hanging="421"/>
        <w:rPr>
          <w:color w:val="auto"/>
        </w:rPr>
      </w:pPr>
      <w:r>
        <w:rPr>
          <w:color w:val="auto"/>
          <w:spacing w:val="2"/>
        </w:rPr>
        <w:t xml:space="preserve">号：             </w:t>
      </w:r>
      <w:r>
        <w:rPr>
          <w:color w:val="auto"/>
        </w:rPr>
        <w:t>）</w:t>
      </w:r>
      <w:r>
        <w:rPr>
          <w:color w:val="auto"/>
          <w:spacing w:val="-3"/>
        </w:rPr>
        <w:t>。我方愿就投标人履行招标文件规定的投标义务，向贵方提供如下保证保险： 一、保证保险金额</w:t>
      </w:r>
      <w:r>
        <w:rPr>
          <w:color w:val="auto"/>
        </w:rPr>
        <w:t xml:space="preserve"> </w:t>
      </w:r>
    </w:p>
    <w:p>
      <w:pPr>
        <w:pStyle w:val="8"/>
        <w:spacing w:line="338" w:lineRule="auto"/>
        <w:ind w:left="520" w:right="210"/>
        <w:rPr>
          <w:color w:val="auto"/>
        </w:rPr>
      </w:pPr>
      <w:r>
        <w:rPr>
          <w:color w:val="auto"/>
          <w:spacing w:val="-10"/>
        </w:rPr>
        <w:t>我方保证保险的保险金额</w:t>
      </w:r>
      <w:r>
        <w:rPr>
          <w:color w:val="auto"/>
          <w:spacing w:val="-3"/>
        </w:rPr>
        <w:t>（</w:t>
      </w:r>
      <w:r>
        <w:rPr>
          <w:color w:val="auto"/>
          <w:spacing w:val="-2"/>
        </w:rPr>
        <w:t>最高限额</w:t>
      </w:r>
      <w:r>
        <w:rPr>
          <w:color w:val="auto"/>
          <w:spacing w:val="-70"/>
        </w:rPr>
        <w:t>）</w:t>
      </w:r>
      <w:r>
        <w:rPr>
          <w:color w:val="auto"/>
          <w:spacing w:val="-3"/>
        </w:rPr>
        <w:t>为人民币</w:t>
      </w:r>
      <w:r>
        <w:rPr>
          <w:color w:val="auto"/>
          <w:u w:val="single"/>
        </w:rPr>
        <w:t xml:space="preserve">          </w:t>
      </w:r>
      <w:r>
        <w:rPr>
          <w:color w:val="auto"/>
          <w:spacing w:val="-72"/>
        </w:rPr>
        <w:t>元</w:t>
      </w:r>
      <w:r>
        <w:rPr>
          <w:color w:val="auto"/>
          <w:spacing w:val="-3"/>
        </w:rPr>
        <w:t>（</w:t>
      </w:r>
      <w:r>
        <w:rPr>
          <w:color w:val="auto"/>
          <w:spacing w:val="-2"/>
        </w:rPr>
        <w:t>大写</w:t>
      </w:r>
      <w:r>
        <w:rPr>
          <w:color w:val="auto"/>
          <w:spacing w:val="-70"/>
        </w:rPr>
        <w:t>）</w:t>
      </w:r>
      <w:r>
        <w:rPr>
          <w:color w:val="auto"/>
          <w:spacing w:val="-70"/>
          <w:u w:val="single"/>
        </w:rPr>
        <w:t xml:space="preserve">                            </w:t>
      </w:r>
      <w:r>
        <w:rPr>
          <w:color w:val="auto"/>
          <w:spacing w:val="-69"/>
        </w:rPr>
        <w:t>元</w:t>
      </w:r>
      <w:r>
        <w:rPr>
          <w:color w:val="auto"/>
        </w:rPr>
        <w:t>（¥</w:t>
      </w:r>
      <w:r>
        <w:rPr>
          <w:color w:val="auto"/>
          <w:u w:val="single"/>
        </w:rPr>
        <w:t xml:space="preserve">             </w:t>
      </w:r>
      <w:r>
        <w:rPr>
          <w:color w:val="auto"/>
        </w:rPr>
        <w:t xml:space="preserve"> </w:t>
      </w:r>
      <w:r>
        <w:rPr>
          <w:color w:val="auto"/>
          <w:spacing w:val="-72"/>
        </w:rPr>
        <w:t>）</w:t>
      </w:r>
      <w:r>
        <w:rPr>
          <w:color w:val="auto"/>
          <w:spacing w:val="-108"/>
        </w:rPr>
        <w:t>。</w:t>
      </w:r>
      <w:r>
        <w:rPr>
          <w:color w:val="auto"/>
          <w:spacing w:val="-3"/>
        </w:rPr>
        <w:t>二、保证保险的责任范围</w:t>
      </w:r>
      <w:r>
        <w:rPr>
          <w:color w:val="auto"/>
        </w:rPr>
        <w:t xml:space="preserve"> </w:t>
      </w:r>
    </w:p>
    <w:p>
      <w:pPr>
        <w:pStyle w:val="8"/>
        <w:ind w:left="520"/>
        <w:rPr>
          <w:color w:val="auto"/>
        </w:rPr>
      </w:pPr>
      <w:r>
        <w:rPr>
          <w:color w:val="auto"/>
        </w:rPr>
        <w:t xml:space="preserve">我方在投标人发生以下情形之一时，承担保险责任： </w:t>
      </w:r>
    </w:p>
    <w:p>
      <w:pPr>
        <w:pStyle w:val="8"/>
        <w:spacing w:before="109" w:line="338" w:lineRule="auto"/>
        <w:ind w:left="100" w:right="411" w:firstLine="420"/>
        <w:rPr>
          <w:color w:val="auto"/>
        </w:rPr>
      </w:pPr>
      <w:r>
        <w:rPr>
          <w:color w:val="auto"/>
        </w:rPr>
        <w:t xml:space="preserve">1、投标截止后投标人违反招标文件的规定修改、补充或撤销投标文件的实质性内容或者要求更改招标文件和中标通知书的实质性内容； </w:t>
      </w:r>
    </w:p>
    <w:p>
      <w:pPr>
        <w:pStyle w:val="8"/>
        <w:spacing w:before="3"/>
        <w:ind w:left="520"/>
        <w:rPr>
          <w:color w:val="auto"/>
        </w:rPr>
      </w:pPr>
      <w:r>
        <w:rPr>
          <w:color w:val="auto"/>
        </w:rPr>
        <w:t xml:space="preserve">2、投标人中标后未按招标文件或中标通知书的要求签署合同； </w:t>
      </w:r>
    </w:p>
    <w:p>
      <w:pPr>
        <w:pStyle w:val="8"/>
        <w:spacing w:before="110" w:line="338" w:lineRule="auto"/>
        <w:ind w:left="520" w:right="3671"/>
        <w:rPr>
          <w:color w:val="auto"/>
        </w:rPr>
      </w:pPr>
      <w:r>
        <w:rPr>
          <w:color w:val="auto"/>
        </w:rPr>
        <w:t xml:space="preserve">3、《建设工程招标文件》规定的其他有关投标实质性违约情形。三、代偿的安排 </w:t>
      </w:r>
    </w:p>
    <w:p>
      <w:pPr>
        <w:pStyle w:val="8"/>
        <w:spacing w:before="2" w:line="338" w:lineRule="auto"/>
        <w:ind w:left="100" w:right="313" w:firstLine="420"/>
        <w:rPr>
          <w:color w:val="auto"/>
        </w:rPr>
      </w:pPr>
      <w:r>
        <w:rPr>
          <w:color w:val="auto"/>
        </w:rPr>
        <w:t xml:space="preserve">贵方要求我方承担保证保险责任的，应向我方发出书面索赔通知。索赔通知应写明要求索赔的金额，支付款项应到达的帐号，并附有说明投标人违约造成贵方损失情况的证明材料。 </w:t>
      </w:r>
    </w:p>
    <w:p>
      <w:pPr>
        <w:pStyle w:val="8"/>
        <w:spacing w:line="340" w:lineRule="auto"/>
        <w:ind w:left="100" w:right="411" w:firstLine="420"/>
        <w:rPr>
          <w:color w:val="auto"/>
        </w:rPr>
      </w:pPr>
      <w:r>
        <w:rPr>
          <w:color w:val="auto"/>
          <w:spacing w:val="-5"/>
        </w:rPr>
        <w:t xml:space="preserve">我方收到贵方的书面索赔通知及相应证明材料后，在 </w:t>
      </w:r>
      <w:r>
        <w:rPr>
          <w:color w:val="auto"/>
          <w:u w:val="single"/>
        </w:rPr>
        <w:t>10</w:t>
      </w:r>
      <w:r>
        <w:rPr>
          <w:color w:val="auto"/>
          <w:spacing w:val="-7"/>
        </w:rPr>
        <w:t xml:space="preserve"> 个工作日内进行核定后，按照保险合同的约定</w:t>
      </w:r>
      <w:r>
        <w:rPr>
          <w:color w:val="auto"/>
          <w:spacing w:val="-5"/>
        </w:rPr>
        <w:t>承担保证保险责任。</w:t>
      </w:r>
      <w:r>
        <w:rPr>
          <w:color w:val="auto"/>
        </w:rPr>
        <w:t xml:space="preserve"> </w:t>
      </w:r>
    </w:p>
    <w:p>
      <w:pPr>
        <w:pStyle w:val="8"/>
        <w:spacing w:line="266" w:lineRule="exact"/>
        <w:ind w:left="520"/>
        <w:rPr>
          <w:color w:val="auto"/>
        </w:rPr>
      </w:pPr>
      <w:r>
        <w:rPr>
          <w:color w:val="auto"/>
        </w:rPr>
        <w:t xml:space="preserve">四、保单凭证的生效 </w:t>
      </w:r>
    </w:p>
    <w:p>
      <w:pPr>
        <w:pStyle w:val="8"/>
        <w:spacing w:before="109"/>
        <w:ind w:left="520"/>
        <w:rPr>
          <w:color w:val="auto"/>
        </w:rPr>
      </w:pPr>
      <w:r>
        <w:rPr>
          <w:color w:val="auto"/>
        </w:rPr>
        <w:t xml:space="preserve">本保单凭证自我方加盖保单专用章并交付贵方之日起生效。 </w:t>
      </w:r>
    </w:p>
    <w:p>
      <w:pPr>
        <w:pStyle w:val="8"/>
        <w:spacing w:before="113"/>
        <w:ind w:left="520"/>
        <w:rPr>
          <w:color w:val="auto"/>
        </w:rPr>
      </w:pPr>
      <w:r>
        <w:rPr>
          <w:color w:val="auto"/>
        </w:rPr>
        <w:t>本保险在投标有效期到期后 30 日（含）内或被保险人延长投标有效期后的到期日后 30 日（含）内保持</w:t>
      </w:r>
    </w:p>
    <w:p>
      <w:pPr>
        <w:pStyle w:val="8"/>
        <w:spacing w:before="110" w:line="338" w:lineRule="auto"/>
        <w:ind w:left="520" w:right="107" w:hanging="421"/>
        <w:rPr>
          <w:color w:val="auto"/>
        </w:rPr>
      </w:pPr>
      <w:r>
        <w:rPr>
          <w:color w:val="auto"/>
          <w:spacing w:val="-4"/>
        </w:rPr>
        <w:t xml:space="preserve">有效，延长投标有效期无须通知本保险人，但任何索款要求应在投标有效期到期后 </w:t>
      </w:r>
      <w:r>
        <w:rPr>
          <w:color w:val="auto"/>
        </w:rPr>
        <w:t>30</w:t>
      </w:r>
      <w:r>
        <w:rPr>
          <w:color w:val="auto"/>
          <w:spacing w:val="-9"/>
        </w:rPr>
        <w:t xml:space="preserve"> 日</w:t>
      </w:r>
      <w:r>
        <w:rPr>
          <w:color w:val="auto"/>
        </w:rPr>
        <w:t>（</w:t>
      </w:r>
      <w:r>
        <w:rPr>
          <w:color w:val="auto"/>
          <w:spacing w:val="-3"/>
        </w:rPr>
        <w:t>含</w:t>
      </w:r>
      <w:r>
        <w:rPr>
          <w:color w:val="auto"/>
        </w:rPr>
        <w:t>）</w:t>
      </w:r>
      <w:r>
        <w:rPr>
          <w:color w:val="auto"/>
          <w:spacing w:val="-21"/>
        </w:rPr>
        <w:t>内送达我方。</w:t>
      </w:r>
      <w:r>
        <w:rPr>
          <w:color w:val="auto"/>
          <w:spacing w:val="-3"/>
        </w:rPr>
        <w:t>具体保险期限以保险合同载明为准。</w:t>
      </w:r>
      <w:r>
        <w:rPr>
          <w:color w:val="auto"/>
        </w:rPr>
        <w:t xml:space="preserve"> </w:t>
      </w:r>
    </w:p>
    <w:p>
      <w:pPr>
        <w:pStyle w:val="8"/>
        <w:spacing w:before="2"/>
        <w:ind w:left="520"/>
        <w:rPr>
          <w:color w:val="auto"/>
        </w:rPr>
      </w:pPr>
      <w:r>
        <w:rPr>
          <w:color w:val="auto"/>
        </w:rPr>
        <w:t xml:space="preserve">五、本保险保单凭证/保函载明事宜以保险合同约定为准。 </w:t>
      </w:r>
    </w:p>
    <w:p>
      <w:pPr>
        <w:pStyle w:val="8"/>
        <w:spacing w:before="110"/>
        <w:ind w:left="520"/>
        <w:rPr>
          <w:color w:val="auto"/>
        </w:rPr>
      </w:pPr>
      <w:r>
        <w:rPr>
          <w:color w:val="auto"/>
        </w:rPr>
        <w:t xml:space="preserve">六、本保单凭证/保函自保险人或授权代理人签字并加盖公章之日起生效。 </w:t>
      </w:r>
    </w:p>
    <w:p>
      <w:pPr>
        <w:pStyle w:val="8"/>
        <w:spacing w:before="110"/>
        <w:ind w:left="520"/>
        <w:rPr>
          <w:color w:val="auto"/>
        </w:rPr>
      </w:pPr>
      <w:r>
        <w:rPr>
          <w:color w:val="auto"/>
        </w:rPr>
        <w:t xml:space="preserve"> </w:t>
      </w:r>
    </w:p>
    <w:p>
      <w:pPr>
        <w:pStyle w:val="8"/>
        <w:spacing w:before="114"/>
        <w:ind w:left="100"/>
        <w:rPr>
          <w:color w:val="auto"/>
        </w:rPr>
      </w:pPr>
      <w:r>
        <w:rPr>
          <w:color w:val="auto"/>
        </w:rPr>
        <w:t xml:space="preserve">保险人名称： </w:t>
      </w:r>
      <w:r>
        <w:rPr>
          <w:color w:val="auto"/>
          <w:u w:val="single"/>
        </w:rPr>
        <w:t xml:space="preserve">                                           </w:t>
      </w:r>
      <w:r>
        <w:rPr>
          <w:color w:val="auto"/>
        </w:rPr>
        <w:t xml:space="preserve"> </w:t>
      </w:r>
    </w:p>
    <w:p>
      <w:pPr>
        <w:pStyle w:val="8"/>
        <w:tabs>
          <w:tab w:val="left" w:pos="731"/>
          <w:tab w:val="left" w:pos="1465"/>
          <w:tab w:val="left" w:pos="3090"/>
          <w:tab w:val="left" w:pos="4826"/>
          <w:tab w:val="left" w:pos="5458"/>
          <w:tab w:val="left" w:pos="6086"/>
          <w:tab w:val="left" w:pos="6823"/>
          <w:tab w:val="left" w:pos="7558"/>
          <w:tab w:val="left" w:pos="8187"/>
        </w:tabs>
        <w:spacing w:before="110" w:line="254" w:lineRule="auto"/>
        <w:ind w:left="100" w:right="1676"/>
        <w:rPr>
          <w:color w:val="auto"/>
        </w:rPr>
      </w:pPr>
      <w:r>
        <w:rPr>
          <w:color w:val="auto"/>
        </w:rPr>
        <w:t xml:space="preserve">地          址 </w:t>
      </w:r>
      <w:r>
        <w:rPr>
          <w:color w:val="auto"/>
          <w:spacing w:val="-3"/>
        </w:rPr>
        <w:t xml:space="preserve">：   </w:t>
      </w:r>
      <w:r>
        <w:rPr>
          <w:color w:val="auto"/>
          <w:spacing w:val="-3"/>
          <w:u w:val="single"/>
        </w:rPr>
        <w:t xml:space="preserve">                                            </w:t>
      </w:r>
      <w:r>
        <w:rPr>
          <w:color w:val="auto"/>
          <w:spacing w:val="-3"/>
        </w:rPr>
        <w:t xml:space="preserve"> </w:t>
      </w:r>
      <w:r>
        <w:rPr>
          <w:color w:val="auto"/>
          <w:spacing w:val="60"/>
        </w:rPr>
        <w:t xml:space="preserve"> </w:t>
      </w:r>
      <w:r>
        <w:rPr>
          <w:color w:val="auto"/>
        </w:rPr>
        <w:t xml:space="preserve">邮 政 </w:t>
      </w:r>
      <w:r>
        <w:rPr>
          <w:color w:val="auto"/>
          <w:spacing w:val="-3"/>
        </w:rPr>
        <w:t xml:space="preserve">编 </w:t>
      </w:r>
      <w:r>
        <w:rPr>
          <w:color w:val="auto"/>
        </w:rPr>
        <w:t xml:space="preserve">码 </w:t>
      </w:r>
      <w:r>
        <w:rPr>
          <w:color w:val="auto"/>
          <w:spacing w:val="-3"/>
        </w:rPr>
        <w:t xml:space="preserve">： </w:t>
      </w:r>
      <w:r>
        <w:rPr>
          <w:color w:val="auto"/>
        </w:rPr>
        <w:t>电</w:t>
      </w:r>
      <w:r>
        <w:rPr>
          <w:color w:val="auto"/>
        </w:rPr>
        <w:tab/>
      </w:r>
      <w:r>
        <w:rPr>
          <w:color w:val="auto"/>
        </w:rPr>
        <w:t>话：</w:t>
      </w:r>
      <w:r>
        <w:rPr>
          <w:color w:val="auto"/>
        </w:rPr>
        <w:tab/>
      </w:r>
      <w:r>
        <w:rPr>
          <w:color w:val="auto"/>
          <w:u w:val="single"/>
        </w:rPr>
        <w:t xml:space="preserve"> </w:t>
      </w:r>
      <w:r>
        <w:rPr>
          <w:color w:val="auto"/>
          <w:u w:val="single"/>
        </w:rPr>
        <w:tab/>
      </w:r>
      <w:r>
        <w:rPr>
          <w:color w:val="auto"/>
        </w:rPr>
        <w:tab/>
      </w:r>
      <w:r>
        <w:rPr>
          <w:color w:val="auto"/>
        </w:rPr>
        <w:t>日</w:t>
      </w:r>
      <w:r>
        <w:rPr>
          <w:color w:val="auto"/>
        </w:rPr>
        <w:tab/>
      </w:r>
      <w:r>
        <w:rPr>
          <w:color w:val="auto"/>
          <w:spacing w:val="-3"/>
        </w:rPr>
        <w:t>期</w:t>
      </w:r>
      <w:r>
        <w:rPr>
          <w:color w:val="auto"/>
        </w:rPr>
        <w:t>：</w:t>
      </w:r>
      <w:r>
        <w:rPr>
          <w:color w:val="auto"/>
        </w:rPr>
        <w:tab/>
      </w:r>
      <w:r>
        <w:rPr>
          <w:color w:val="auto"/>
          <w:u w:val="single"/>
        </w:rPr>
        <w:t xml:space="preserve"> </w:t>
      </w:r>
      <w:r>
        <w:rPr>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line="254" w:lineRule="auto"/>
        <w:rPr>
          <w:color w:val="auto"/>
        </w:rPr>
        <w:sectPr>
          <w:footerReference r:id="rId35" w:type="default"/>
          <w:pgSz w:w="11910" w:h="16850"/>
          <w:pgMar w:top="1480" w:right="700" w:bottom="1040" w:left="920" w:header="0" w:footer="853" w:gutter="0"/>
          <w:cols w:space="720" w:num="1"/>
        </w:sectPr>
      </w:pPr>
    </w:p>
    <w:p>
      <w:pPr>
        <w:pStyle w:val="8"/>
        <w:spacing w:before="5"/>
        <w:rPr>
          <w:color w:val="auto"/>
          <w:sz w:val="8"/>
        </w:rPr>
      </w:pPr>
    </w:p>
    <w:p>
      <w:pPr>
        <w:pStyle w:val="37"/>
        <w:spacing w:before="55"/>
        <w:ind w:left="4" w:right="223"/>
        <w:jc w:val="center"/>
        <w:rPr>
          <w:color w:val="auto"/>
        </w:rPr>
      </w:pPr>
      <w:r>
        <w:rPr>
          <w:color w:val="auto"/>
        </w:rPr>
        <w:t>五、资格审查资料</w:t>
      </w:r>
    </w:p>
    <w:p>
      <w:pPr>
        <w:pStyle w:val="41"/>
        <w:spacing w:before="248"/>
        <w:ind w:left="4" w:right="223" w:firstLine="0"/>
        <w:jc w:val="center"/>
        <w:rPr>
          <w:color w:val="auto"/>
        </w:rPr>
      </w:pPr>
      <w:bookmarkStart w:id="330" w:name="（一）投标人基本情况表"/>
      <w:bookmarkEnd w:id="330"/>
      <w:r>
        <w:rPr>
          <w:color w:val="auto"/>
        </w:rPr>
        <w:t>（一）投标人基本情况表</w:t>
      </w:r>
    </w:p>
    <w:p>
      <w:pPr>
        <w:pStyle w:val="8"/>
        <w:spacing w:before="7"/>
        <w:rPr>
          <w:b/>
          <w:color w:val="auto"/>
          <w:sz w:val="12"/>
        </w:rPr>
      </w:pPr>
    </w:p>
    <w:tbl>
      <w:tblPr>
        <w:tblStyle w:val="34"/>
        <w:tblW w:w="8573" w:type="dxa"/>
        <w:tblInd w:w="7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901"/>
        <w:gridCol w:w="951"/>
        <w:gridCol w:w="841"/>
        <w:gridCol w:w="421"/>
        <w:gridCol w:w="310"/>
        <w:gridCol w:w="1080"/>
        <w:gridCol w:w="490"/>
        <w:gridCol w:w="860"/>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728" w:type="dxa"/>
          </w:tcPr>
          <w:p>
            <w:pPr>
              <w:pStyle w:val="45"/>
              <w:spacing w:before="75"/>
              <w:ind w:left="213" w:right="202"/>
              <w:jc w:val="center"/>
              <w:rPr>
                <w:color w:val="auto"/>
                <w:sz w:val="21"/>
              </w:rPr>
            </w:pPr>
            <w:r>
              <w:rPr>
                <w:color w:val="auto"/>
                <w:sz w:val="21"/>
              </w:rPr>
              <w:t>投标人名称</w:t>
            </w:r>
          </w:p>
        </w:tc>
        <w:tc>
          <w:tcPr>
            <w:tcW w:w="6845" w:type="dxa"/>
            <w:gridSpan w:val="9"/>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728" w:type="dxa"/>
          </w:tcPr>
          <w:p>
            <w:pPr>
              <w:pStyle w:val="45"/>
              <w:spacing w:before="104"/>
              <w:ind w:left="213" w:right="202"/>
              <w:jc w:val="center"/>
              <w:rPr>
                <w:color w:val="auto"/>
                <w:sz w:val="21"/>
              </w:rPr>
            </w:pPr>
            <w:r>
              <w:rPr>
                <w:color w:val="auto"/>
                <w:sz w:val="21"/>
              </w:rPr>
              <w:t>注册地址</w:t>
            </w:r>
          </w:p>
        </w:tc>
        <w:tc>
          <w:tcPr>
            <w:tcW w:w="3424" w:type="dxa"/>
            <w:gridSpan w:val="5"/>
          </w:tcPr>
          <w:p>
            <w:pPr>
              <w:pStyle w:val="45"/>
              <w:rPr>
                <w:rFonts w:ascii="Times New Roman"/>
                <w:color w:val="auto"/>
                <w:sz w:val="20"/>
              </w:rPr>
            </w:pPr>
          </w:p>
        </w:tc>
        <w:tc>
          <w:tcPr>
            <w:tcW w:w="1080" w:type="dxa"/>
          </w:tcPr>
          <w:p>
            <w:pPr>
              <w:pStyle w:val="45"/>
              <w:spacing w:before="104"/>
              <w:ind w:left="95" w:right="94"/>
              <w:jc w:val="center"/>
              <w:rPr>
                <w:color w:val="auto"/>
                <w:sz w:val="21"/>
              </w:rPr>
            </w:pPr>
            <w:r>
              <w:rPr>
                <w:color w:val="auto"/>
                <w:sz w:val="21"/>
              </w:rPr>
              <w:t>邮政编码</w:t>
            </w:r>
          </w:p>
        </w:tc>
        <w:tc>
          <w:tcPr>
            <w:tcW w:w="2341" w:type="dxa"/>
            <w:gridSpan w:val="3"/>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vMerge w:val="restart"/>
          </w:tcPr>
          <w:p>
            <w:pPr>
              <w:pStyle w:val="45"/>
              <w:rPr>
                <w:b/>
                <w:color w:val="auto"/>
                <w:sz w:val="20"/>
              </w:rPr>
            </w:pPr>
          </w:p>
          <w:p>
            <w:pPr>
              <w:pStyle w:val="45"/>
              <w:spacing w:before="155"/>
              <w:ind w:left="443"/>
              <w:rPr>
                <w:color w:val="auto"/>
                <w:sz w:val="21"/>
              </w:rPr>
            </w:pPr>
            <w:r>
              <w:rPr>
                <w:color w:val="auto"/>
                <w:sz w:val="21"/>
              </w:rPr>
              <w:t>联系方式</w:t>
            </w:r>
          </w:p>
        </w:tc>
        <w:tc>
          <w:tcPr>
            <w:tcW w:w="901" w:type="dxa"/>
          </w:tcPr>
          <w:p>
            <w:pPr>
              <w:pStyle w:val="45"/>
              <w:spacing w:before="99"/>
              <w:ind w:left="113" w:right="107"/>
              <w:jc w:val="center"/>
              <w:rPr>
                <w:color w:val="auto"/>
                <w:sz w:val="21"/>
              </w:rPr>
            </w:pPr>
            <w:r>
              <w:rPr>
                <w:color w:val="auto"/>
                <w:sz w:val="21"/>
              </w:rPr>
              <w:t>联系人</w:t>
            </w:r>
          </w:p>
        </w:tc>
        <w:tc>
          <w:tcPr>
            <w:tcW w:w="2523" w:type="dxa"/>
            <w:gridSpan w:val="4"/>
          </w:tcPr>
          <w:p>
            <w:pPr>
              <w:pStyle w:val="45"/>
              <w:rPr>
                <w:rFonts w:ascii="Times New Roman"/>
                <w:color w:val="auto"/>
                <w:sz w:val="20"/>
              </w:rPr>
            </w:pPr>
          </w:p>
        </w:tc>
        <w:tc>
          <w:tcPr>
            <w:tcW w:w="1080" w:type="dxa"/>
          </w:tcPr>
          <w:p>
            <w:pPr>
              <w:pStyle w:val="45"/>
              <w:spacing w:before="99"/>
              <w:ind w:left="95" w:right="92"/>
              <w:jc w:val="center"/>
              <w:rPr>
                <w:color w:val="auto"/>
                <w:sz w:val="21"/>
              </w:rPr>
            </w:pPr>
            <w:r>
              <w:rPr>
                <w:color w:val="auto"/>
                <w:sz w:val="21"/>
              </w:rPr>
              <w:t>电话</w:t>
            </w:r>
          </w:p>
        </w:tc>
        <w:tc>
          <w:tcPr>
            <w:tcW w:w="2341" w:type="dxa"/>
            <w:gridSpan w:val="3"/>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28" w:type="dxa"/>
            <w:vMerge w:val="continue"/>
            <w:tcBorders>
              <w:top w:val="nil"/>
            </w:tcBorders>
          </w:tcPr>
          <w:p>
            <w:pPr>
              <w:rPr>
                <w:color w:val="auto"/>
                <w:sz w:val="2"/>
                <w:szCs w:val="2"/>
              </w:rPr>
            </w:pPr>
          </w:p>
        </w:tc>
        <w:tc>
          <w:tcPr>
            <w:tcW w:w="901" w:type="dxa"/>
          </w:tcPr>
          <w:p>
            <w:pPr>
              <w:pStyle w:val="45"/>
              <w:spacing w:before="104"/>
              <w:ind w:left="113" w:right="107"/>
              <w:jc w:val="center"/>
              <w:rPr>
                <w:color w:val="auto"/>
                <w:sz w:val="21"/>
              </w:rPr>
            </w:pPr>
            <w:r>
              <w:rPr>
                <w:color w:val="auto"/>
                <w:sz w:val="21"/>
              </w:rPr>
              <w:t>传真</w:t>
            </w:r>
          </w:p>
        </w:tc>
        <w:tc>
          <w:tcPr>
            <w:tcW w:w="2523" w:type="dxa"/>
            <w:gridSpan w:val="4"/>
          </w:tcPr>
          <w:p>
            <w:pPr>
              <w:pStyle w:val="45"/>
              <w:rPr>
                <w:rFonts w:ascii="Times New Roman"/>
                <w:color w:val="auto"/>
                <w:sz w:val="20"/>
              </w:rPr>
            </w:pPr>
          </w:p>
        </w:tc>
        <w:tc>
          <w:tcPr>
            <w:tcW w:w="1080" w:type="dxa"/>
          </w:tcPr>
          <w:p>
            <w:pPr>
              <w:pStyle w:val="45"/>
              <w:spacing w:before="104"/>
              <w:ind w:left="95" w:right="92"/>
              <w:jc w:val="center"/>
              <w:rPr>
                <w:color w:val="auto"/>
                <w:sz w:val="21"/>
              </w:rPr>
            </w:pPr>
            <w:r>
              <w:rPr>
                <w:color w:val="auto"/>
                <w:sz w:val="21"/>
              </w:rPr>
              <w:t>网址</w:t>
            </w:r>
          </w:p>
        </w:tc>
        <w:tc>
          <w:tcPr>
            <w:tcW w:w="2341" w:type="dxa"/>
            <w:gridSpan w:val="3"/>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28" w:type="dxa"/>
          </w:tcPr>
          <w:p>
            <w:pPr>
              <w:pStyle w:val="45"/>
              <w:spacing w:before="104"/>
              <w:ind w:left="213" w:right="202"/>
              <w:jc w:val="center"/>
              <w:rPr>
                <w:color w:val="auto"/>
                <w:sz w:val="21"/>
              </w:rPr>
            </w:pPr>
            <w:r>
              <w:rPr>
                <w:color w:val="auto"/>
                <w:sz w:val="21"/>
              </w:rPr>
              <w:t>组织结构</w:t>
            </w:r>
          </w:p>
        </w:tc>
        <w:tc>
          <w:tcPr>
            <w:tcW w:w="6845" w:type="dxa"/>
            <w:gridSpan w:val="9"/>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28" w:type="dxa"/>
          </w:tcPr>
          <w:p>
            <w:pPr>
              <w:pStyle w:val="45"/>
              <w:spacing w:before="102"/>
              <w:ind w:left="213" w:right="202"/>
              <w:jc w:val="center"/>
              <w:rPr>
                <w:color w:val="auto"/>
                <w:sz w:val="21"/>
              </w:rPr>
            </w:pPr>
            <w:r>
              <w:rPr>
                <w:color w:val="auto"/>
                <w:sz w:val="21"/>
              </w:rPr>
              <w:t>法定代表人</w:t>
            </w:r>
          </w:p>
        </w:tc>
        <w:tc>
          <w:tcPr>
            <w:tcW w:w="901" w:type="dxa"/>
          </w:tcPr>
          <w:p>
            <w:pPr>
              <w:pStyle w:val="45"/>
              <w:spacing w:before="102"/>
              <w:ind w:left="113" w:right="107"/>
              <w:jc w:val="center"/>
              <w:rPr>
                <w:color w:val="auto"/>
                <w:sz w:val="21"/>
              </w:rPr>
            </w:pPr>
            <w:r>
              <w:rPr>
                <w:color w:val="auto"/>
                <w:sz w:val="21"/>
              </w:rPr>
              <w:t>姓名</w:t>
            </w:r>
          </w:p>
        </w:tc>
        <w:tc>
          <w:tcPr>
            <w:tcW w:w="951" w:type="dxa"/>
          </w:tcPr>
          <w:p>
            <w:pPr>
              <w:pStyle w:val="45"/>
              <w:rPr>
                <w:rFonts w:ascii="Times New Roman"/>
                <w:color w:val="auto"/>
                <w:sz w:val="20"/>
              </w:rPr>
            </w:pPr>
          </w:p>
        </w:tc>
        <w:tc>
          <w:tcPr>
            <w:tcW w:w="1262" w:type="dxa"/>
            <w:gridSpan w:val="2"/>
          </w:tcPr>
          <w:p>
            <w:pPr>
              <w:pStyle w:val="45"/>
              <w:spacing w:before="102"/>
              <w:ind w:left="207"/>
              <w:rPr>
                <w:color w:val="auto"/>
                <w:sz w:val="21"/>
              </w:rPr>
            </w:pPr>
            <w:r>
              <w:rPr>
                <w:color w:val="auto"/>
                <w:sz w:val="21"/>
              </w:rPr>
              <w:t>技术职称</w:t>
            </w:r>
          </w:p>
        </w:tc>
        <w:tc>
          <w:tcPr>
            <w:tcW w:w="1880" w:type="dxa"/>
            <w:gridSpan w:val="3"/>
          </w:tcPr>
          <w:p>
            <w:pPr>
              <w:pStyle w:val="45"/>
              <w:rPr>
                <w:rFonts w:ascii="Times New Roman"/>
                <w:color w:val="auto"/>
                <w:sz w:val="20"/>
              </w:rPr>
            </w:pPr>
          </w:p>
        </w:tc>
        <w:tc>
          <w:tcPr>
            <w:tcW w:w="860" w:type="dxa"/>
          </w:tcPr>
          <w:p>
            <w:pPr>
              <w:pStyle w:val="45"/>
              <w:spacing w:before="102"/>
              <w:ind w:left="195" w:right="194"/>
              <w:jc w:val="center"/>
              <w:rPr>
                <w:color w:val="auto"/>
                <w:sz w:val="21"/>
              </w:rPr>
            </w:pPr>
            <w:r>
              <w:rPr>
                <w:color w:val="auto"/>
                <w:sz w:val="21"/>
              </w:rPr>
              <w:t>电话</w:t>
            </w:r>
          </w:p>
        </w:tc>
        <w:tc>
          <w:tcPr>
            <w:tcW w:w="991"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728" w:type="dxa"/>
          </w:tcPr>
          <w:p>
            <w:pPr>
              <w:pStyle w:val="45"/>
              <w:spacing w:before="97"/>
              <w:ind w:left="213" w:right="202"/>
              <w:jc w:val="center"/>
              <w:rPr>
                <w:color w:val="auto"/>
                <w:sz w:val="21"/>
              </w:rPr>
            </w:pPr>
            <w:r>
              <w:rPr>
                <w:color w:val="auto"/>
                <w:sz w:val="21"/>
              </w:rPr>
              <w:t>技术负责人</w:t>
            </w:r>
          </w:p>
        </w:tc>
        <w:tc>
          <w:tcPr>
            <w:tcW w:w="901" w:type="dxa"/>
          </w:tcPr>
          <w:p>
            <w:pPr>
              <w:pStyle w:val="45"/>
              <w:spacing w:before="97"/>
              <w:ind w:left="113" w:right="107"/>
              <w:jc w:val="center"/>
              <w:rPr>
                <w:color w:val="auto"/>
                <w:sz w:val="21"/>
              </w:rPr>
            </w:pPr>
            <w:r>
              <w:rPr>
                <w:color w:val="auto"/>
                <w:sz w:val="21"/>
              </w:rPr>
              <w:t>姓名</w:t>
            </w:r>
          </w:p>
        </w:tc>
        <w:tc>
          <w:tcPr>
            <w:tcW w:w="951" w:type="dxa"/>
          </w:tcPr>
          <w:p>
            <w:pPr>
              <w:pStyle w:val="45"/>
              <w:rPr>
                <w:rFonts w:ascii="Times New Roman"/>
                <w:color w:val="auto"/>
                <w:sz w:val="20"/>
              </w:rPr>
            </w:pPr>
          </w:p>
        </w:tc>
        <w:tc>
          <w:tcPr>
            <w:tcW w:w="1262" w:type="dxa"/>
            <w:gridSpan w:val="2"/>
          </w:tcPr>
          <w:p>
            <w:pPr>
              <w:pStyle w:val="45"/>
              <w:spacing w:before="97"/>
              <w:ind w:left="207"/>
              <w:rPr>
                <w:color w:val="auto"/>
                <w:sz w:val="21"/>
              </w:rPr>
            </w:pPr>
            <w:r>
              <w:rPr>
                <w:color w:val="auto"/>
                <w:sz w:val="21"/>
              </w:rPr>
              <w:t>技术职称</w:t>
            </w:r>
          </w:p>
        </w:tc>
        <w:tc>
          <w:tcPr>
            <w:tcW w:w="1880" w:type="dxa"/>
            <w:gridSpan w:val="3"/>
          </w:tcPr>
          <w:p>
            <w:pPr>
              <w:pStyle w:val="45"/>
              <w:rPr>
                <w:rFonts w:ascii="Times New Roman"/>
                <w:color w:val="auto"/>
                <w:sz w:val="20"/>
              </w:rPr>
            </w:pPr>
          </w:p>
        </w:tc>
        <w:tc>
          <w:tcPr>
            <w:tcW w:w="860" w:type="dxa"/>
          </w:tcPr>
          <w:p>
            <w:pPr>
              <w:pStyle w:val="45"/>
              <w:spacing w:before="97"/>
              <w:ind w:left="195" w:right="194"/>
              <w:jc w:val="center"/>
              <w:rPr>
                <w:color w:val="auto"/>
                <w:sz w:val="21"/>
              </w:rPr>
            </w:pPr>
            <w:r>
              <w:rPr>
                <w:color w:val="auto"/>
                <w:sz w:val="21"/>
              </w:rPr>
              <w:t>电话</w:t>
            </w:r>
          </w:p>
        </w:tc>
        <w:tc>
          <w:tcPr>
            <w:tcW w:w="991"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28" w:type="dxa"/>
          </w:tcPr>
          <w:p>
            <w:pPr>
              <w:pStyle w:val="45"/>
              <w:spacing w:before="109"/>
              <w:ind w:left="213" w:right="202"/>
              <w:jc w:val="center"/>
              <w:rPr>
                <w:color w:val="auto"/>
                <w:sz w:val="21"/>
              </w:rPr>
            </w:pPr>
            <w:r>
              <w:rPr>
                <w:color w:val="auto"/>
                <w:sz w:val="21"/>
              </w:rPr>
              <w:t>成立时间</w:t>
            </w:r>
          </w:p>
        </w:tc>
        <w:tc>
          <w:tcPr>
            <w:tcW w:w="1852" w:type="dxa"/>
            <w:gridSpan w:val="2"/>
          </w:tcPr>
          <w:p>
            <w:pPr>
              <w:pStyle w:val="45"/>
              <w:rPr>
                <w:rFonts w:ascii="Times New Roman"/>
                <w:color w:val="auto"/>
                <w:sz w:val="20"/>
              </w:rPr>
            </w:pPr>
          </w:p>
        </w:tc>
        <w:tc>
          <w:tcPr>
            <w:tcW w:w="4993" w:type="dxa"/>
            <w:gridSpan w:val="7"/>
          </w:tcPr>
          <w:p>
            <w:pPr>
              <w:pStyle w:val="45"/>
              <w:spacing w:before="109"/>
              <w:ind w:left="1845" w:right="1838"/>
              <w:jc w:val="center"/>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8" w:type="dxa"/>
          </w:tcPr>
          <w:p>
            <w:pPr>
              <w:pStyle w:val="45"/>
              <w:spacing w:before="125"/>
              <w:ind w:left="213" w:right="204"/>
              <w:jc w:val="center"/>
              <w:rPr>
                <w:color w:val="auto"/>
                <w:sz w:val="21"/>
              </w:rPr>
            </w:pPr>
            <w:r>
              <w:rPr>
                <w:color w:val="auto"/>
                <w:sz w:val="21"/>
              </w:rPr>
              <w:t>企业资质等级</w:t>
            </w:r>
          </w:p>
        </w:tc>
        <w:tc>
          <w:tcPr>
            <w:tcW w:w="1852" w:type="dxa"/>
            <w:gridSpan w:val="2"/>
          </w:tcPr>
          <w:p>
            <w:pPr>
              <w:pStyle w:val="45"/>
              <w:rPr>
                <w:rFonts w:ascii="Times New Roman"/>
                <w:color w:val="auto"/>
                <w:sz w:val="20"/>
              </w:rPr>
            </w:pPr>
          </w:p>
        </w:tc>
        <w:tc>
          <w:tcPr>
            <w:tcW w:w="841" w:type="dxa"/>
            <w:vMerge w:val="restart"/>
          </w:tcPr>
          <w:p>
            <w:pPr>
              <w:pStyle w:val="45"/>
              <w:rPr>
                <w:b/>
                <w:color w:val="auto"/>
                <w:sz w:val="20"/>
              </w:rPr>
            </w:pPr>
          </w:p>
          <w:p>
            <w:pPr>
              <w:pStyle w:val="45"/>
              <w:rPr>
                <w:b/>
                <w:color w:val="auto"/>
                <w:sz w:val="20"/>
              </w:rPr>
            </w:pPr>
          </w:p>
          <w:p>
            <w:pPr>
              <w:pStyle w:val="45"/>
              <w:rPr>
                <w:b/>
                <w:color w:val="auto"/>
                <w:sz w:val="20"/>
              </w:rPr>
            </w:pPr>
          </w:p>
          <w:p>
            <w:pPr>
              <w:pStyle w:val="45"/>
              <w:rPr>
                <w:b/>
                <w:color w:val="auto"/>
                <w:sz w:val="20"/>
              </w:rPr>
            </w:pPr>
          </w:p>
          <w:p>
            <w:pPr>
              <w:pStyle w:val="45"/>
              <w:spacing w:before="11"/>
              <w:rPr>
                <w:b/>
                <w:color w:val="auto"/>
                <w:sz w:val="26"/>
              </w:rPr>
            </w:pPr>
          </w:p>
          <w:p>
            <w:pPr>
              <w:pStyle w:val="45"/>
              <w:ind w:left="207"/>
              <w:rPr>
                <w:color w:val="auto"/>
                <w:sz w:val="21"/>
              </w:rPr>
            </w:pPr>
            <w:r>
              <w:rPr>
                <w:color w:val="auto"/>
                <w:sz w:val="21"/>
              </w:rPr>
              <w:t>其中</w:t>
            </w:r>
          </w:p>
        </w:tc>
        <w:tc>
          <w:tcPr>
            <w:tcW w:w="2301" w:type="dxa"/>
            <w:gridSpan w:val="4"/>
          </w:tcPr>
          <w:p>
            <w:pPr>
              <w:pStyle w:val="45"/>
              <w:spacing w:before="125"/>
              <w:ind w:left="727"/>
              <w:rPr>
                <w:color w:val="auto"/>
                <w:sz w:val="21"/>
              </w:rPr>
            </w:pPr>
            <w:r>
              <w:rPr>
                <w:color w:val="auto"/>
                <w:sz w:val="21"/>
              </w:rPr>
              <w:t>项目经理</w:t>
            </w:r>
          </w:p>
        </w:tc>
        <w:tc>
          <w:tcPr>
            <w:tcW w:w="1851"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28" w:type="dxa"/>
          </w:tcPr>
          <w:p>
            <w:pPr>
              <w:pStyle w:val="45"/>
              <w:spacing w:before="101"/>
              <w:ind w:left="213" w:right="202"/>
              <w:jc w:val="center"/>
              <w:rPr>
                <w:color w:val="auto"/>
                <w:sz w:val="21"/>
              </w:rPr>
            </w:pPr>
            <w:r>
              <w:rPr>
                <w:color w:val="auto"/>
                <w:sz w:val="21"/>
              </w:rPr>
              <w:t>营业执照号</w:t>
            </w:r>
          </w:p>
        </w:tc>
        <w:tc>
          <w:tcPr>
            <w:tcW w:w="1852" w:type="dxa"/>
            <w:gridSpan w:val="2"/>
          </w:tcPr>
          <w:p>
            <w:pPr>
              <w:pStyle w:val="45"/>
              <w:rPr>
                <w:rFonts w:ascii="Times New Roman"/>
                <w:color w:val="auto"/>
                <w:sz w:val="20"/>
              </w:rPr>
            </w:pPr>
          </w:p>
        </w:tc>
        <w:tc>
          <w:tcPr>
            <w:tcW w:w="841" w:type="dxa"/>
            <w:vMerge w:val="continue"/>
            <w:tcBorders>
              <w:top w:val="nil"/>
            </w:tcBorders>
          </w:tcPr>
          <w:p>
            <w:pPr>
              <w:rPr>
                <w:color w:val="auto"/>
                <w:sz w:val="2"/>
                <w:szCs w:val="2"/>
              </w:rPr>
            </w:pPr>
          </w:p>
        </w:tc>
        <w:tc>
          <w:tcPr>
            <w:tcW w:w="2301" w:type="dxa"/>
            <w:gridSpan w:val="4"/>
          </w:tcPr>
          <w:p>
            <w:pPr>
              <w:pStyle w:val="45"/>
              <w:spacing w:before="101"/>
              <w:ind w:left="516"/>
              <w:rPr>
                <w:color w:val="auto"/>
                <w:sz w:val="21"/>
              </w:rPr>
            </w:pPr>
            <w:r>
              <w:rPr>
                <w:color w:val="auto"/>
                <w:sz w:val="21"/>
              </w:rPr>
              <w:t>高级职称人员</w:t>
            </w:r>
          </w:p>
        </w:tc>
        <w:tc>
          <w:tcPr>
            <w:tcW w:w="1851"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tcPr>
          <w:p>
            <w:pPr>
              <w:pStyle w:val="45"/>
              <w:spacing w:before="99"/>
              <w:ind w:left="213" w:right="202"/>
              <w:jc w:val="center"/>
              <w:rPr>
                <w:color w:val="auto"/>
                <w:sz w:val="21"/>
              </w:rPr>
            </w:pPr>
            <w:r>
              <w:rPr>
                <w:color w:val="auto"/>
                <w:sz w:val="21"/>
              </w:rPr>
              <w:t>注册资金</w:t>
            </w:r>
          </w:p>
        </w:tc>
        <w:tc>
          <w:tcPr>
            <w:tcW w:w="1852" w:type="dxa"/>
            <w:gridSpan w:val="2"/>
          </w:tcPr>
          <w:p>
            <w:pPr>
              <w:pStyle w:val="45"/>
              <w:rPr>
                <w:rFonts w:ascii="Times New Roman"/>
                <w:color w:val="auto"/>
                <w:sz w:val="20"/>
              </w:rPr>
            </w:pPr>
          </w:p>
        </w:tc>
        <w:tc>
          <w:tcPr>
            <w:tcW w:w="841" w:type="dxa"/>
            <w:vMerge w:val="continue"/>
            <w:tcBorders>
              <w:top w:val="nil"/>
            </w:tcBorders>
          </w:tcPr>
          <w:p>
            <w:pPr>
              <w:rPr>
                <w:color w:val="auto"/>
                <w:sz w:val="2"/>
                <w:szCs w:val="2"/>
              </w:rPr>
            </w:pPr>
          </w:p>
        </w:tc>
        <w:tc>
          <w:tcPr>
            <w:tcW w:w="2301" w:type="dxa"/>
            <w:gridSpan w:val="4"/>
          </w:tcPr>
          <w:p>
            <w:pPr>
              <w:pStyle w:val="45"/>
              <w:spacing w:before="99"/>
              <w:ind w:left="516"/>
              <w:rPr>
                <w:color w:val="auto"/>
                <w:sz w:val="21"/>
              </w:rPr>
            </w:pPr>
            <w:r>
              <w:rPr>
                <w:color w:val="auto"/>
                <w:sz w:val="21"/>
              </w:rPr>
              <w:t>中级职称人员</w:t>
            </w:r>
          </w:p>
        </w:tc>
        <w:tc>
          <w:tcPr>
            <w:tcW w:w="1851"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28" w:type="dxa"/>
          </w:tcPr>
          <w:p>
            <w:pPr>
              <w:pStyle w:val="45"/>
              <w:spacing w:before="111"/>
              <w:ind w:left="213" w:right="202"/>
              <w:jc w:val="center"/>
              <w:rPr>
                <w:color w:val="auto"/>
                <w:sz w:val="21"/>
              </w:rPr>
            </w:pPr>
            <w:r>
              <w:rPr>
                <w:color w:val="auto"/>
                <w:sz w:val="21"/>
              </w:rPr>
              <w:t>开户银行</w:t>
            </w:r>
          </w:p>
        </w:tc>
        <w:tc>
          <w:tcPr>
            <w:tcW w:w="1852" w:type="dxa"/>
            <w:gridSpan w:val="2"/>
          </w:tcPr>
          <w:p>
            <w:pPr>
              <w:pStyle w:val="45"/>
              <w:rPr>
                <w:rFonts w:ascii="Times New Roman"/>
                <w:color w:val="auto"/>
                <w:sz w:val="20"/>
              </w:rPr>
            </w:pPr>
          </w:p>
        </w:tc>
        <w:tc>
          <w:tcPr>
            <w:tcW w:w="841" w:type="dxa"/>
            <w:vMerge w:val="continue"/>
            <w:tcBorders>
              <w:top w:val="nil"/>
            </w:tcBorders>
          </w:tcPr>
          <w:p>
            <w:pPr>
              <w:rPr>
                <w:color w:val="auto"/>
                <w:sz w:val="2"/>
                <w:szCs w:val="2"/>
              </w:rPr>
            </w:pPr>
          </w:p>
        </w:tc>
        <w:tc>
          <w:tcPr>
            <w:tcW w:w="2301" w:type="dxa"/>
            <w:gridSpan w:val="4"/>
          </w:tcPr>
          <w:p>
            <w:pPr>
              <w:pStyle w:val="45"/>
              <w:spacing w:before="111"/>
              <w:ind w:left="516"/>
              <w:rPr>
                <w:color w:val="auto"/>
                <w:sz w:val="21"/>
              </w:rPr>
            </w:pPr>
            <w:r>
              <w:rPr>
                <w:color w:val="auto"/>
                <w:sz w:val="21"/>
              </w:rPr>
              <w:t>初级职称人员</w:t>
            </w:r>
          </w:p>
        </w:tc>
        <w:tc>
          <w:tcPr>
            <w:tcW w:w="1851"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tcPr>
          <w:p>
            <w:pPr>
              <w:pStyle w:val="45"/>
              <w:spacing w:before="101"/>
              <w:ind w:left="213" w:right="204"/>
              <w:jc w:val="center"/>
              <w:rPr>
                <w:color w:val="auto"/>
                <w:sz w:val="21"/>
              </w:rPr>
            </w:pPr>
            <w:r>
              <w:rPr>
                <w:color w:val="auto"/>
                <w:sz w:val="21"/>
              </w:rPr>
              <w:t>账号</w:t>
            </w:r>
          </w:p>
        </w:tc>
        <w:tc>
          <w:tcPr>
            <w:tcW w:w="1852" w:type="dxa"/>
            <w:gridSpan w:val="2"/>
          </w:tcPr>
          <w:p>
            <w:pPr>
              <w:pStyle w:val="45"/>
              <w:rPr>
                <w:rFonts w:ascii="Times New Roman"/>
                <w:color w:val="auto"/>
                <w:sz w:val="20"/>
              </w:rPr>
            </w:pPr>
          </w:p>
        </w:tc>
        <w:tc>
          <w:tcPr>
            <w:tcW w:w="841" w:type="dxa"/>
            <w:vMerge w:val="continue"/>
            <w:tcBorders>
              <w:top w:val="nil"/>
            </w:tcBorders>
          </w:tcPr>
          <w:p>
            <w:pPr>
              <w:rPr>
                <w:color w:val="auto"/>
                <w:sz w:val="2"/>
                <w:szCs w:val="2"/>
              </w:rPr>
            </w:pPr>
          </w:p>
        </w:tc>
        <w:tc>
          <w:tcPr>
            <w:tcW w:w="2301" w:type="dxa"/>
            <w:gridSpan w:val="4"/>
          </w:tcPr>
          <w:p>
            <w:pPr>
              <w:pStyle w:val="45"/>
              <w:spacing w:before="101"/>
              <w:ind w:left="917" w:right="913"/>
              <w:jc w:val="center"/>
              <w:rPr>
                <w:color w:val="auto"/>
                <w:sz w:val="21"/>
              </w:rPr>
            </w:pPr>
            <w:r>
              <w:rPr>
                <w:color w:val="auto"/>
                <w:sz w:val="21"/>
              </w:rPr>
              <w:t>技工</w:t>
            </w:r>
          </w:p>
        </w:tc>
        <w:tc>
          <w:tcPr>
            <w:tcW w:w="1851"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1728" w:type="dxa"/>
          </w:tcPr>
          <w:p>
            <w:pPr>
              <w:pStyle w:val="45"/>
              <w:rPr>
                <w:b/>
                <w:color w:val="auto"/>
                <w:sz w:val="20"/>
              </w:rPr>
            </w:pPr>
          </w:p>
          <w:p>
            <w:pPr>
              <w:pStyle w:val="45"/>
              <w:spacing w:before="6"/>
              <w:rPr>
                <w:b/>
                <w:color w:val="auto"/>
                <w:sz w:val="15"/>
              </w:rPr>
            </w:pPr>
          </w:p>
          <w:p>
            <w:pPr>
              <w:pStyle w:val="45"/>
              <w:ind w:left="213" w:right="202"/>
              <w:jc w:val="center"/>
              <w:rPr>
                <w:color w:val="auto"/>
                <w:sz w:val="21"/>
              </w:rPr>
            </w:pPr>
            <w:r>
              <w:rPr>
                <w:color w:val="auto"/>
                <w:sz w:val="21"/>
              </w:rPr>
              <w:t>经营范围</w:t>
            </w:r>
          </w:p>
        </w:tc>
        <w:tc>
          <w:tcPr>
            <w:tcW w:w="6845" w:type="dxa"/>
            <w:gridSpan w:val="9"/>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28" w:type="dxa"/>
          </w:tcPr>
          <w:p>
            <w:pPr>
              <w:pStyle w:val="45"/>
              <w:spacing w:before="104"/>
              <w:ind w:left="213" w:right="204"/>
              <w:jc w:val="center"/>
              <w:rPr>
                <w:color w:val="auto"/>
                <w:sz w:val="21"/>
              </w:rPr>
            </w:pPr>
            <w:r>
              <w:rPr>
                <w:color w:val="auto"/>
                <w:sz w:val="21"/>
              </w:rPr>
              <w:t>备注</w:t>
            </w:r>
          </w:p>
        </w:tc>
        <w:tc>
          <w:tcPr>
            <w:tcW w:w="6845" w:type="dxa"/>
            <w:gridSpan w:val="9"/>
          </w:tcPr>
          <w:p>
            <w:pPr>
              <w:pStyle w:val="45"/>
              <w:rPr>
                <w:rFonts w:ascii="Times New Roman"/>
                <w:color w:val="auto"/>
                <w:sz w:val="20"/>
              </w:rPr>
            </w:pPr>
          </w:p>
        </w:tc>
      </w:tr>
    </w:tbl>
    <w:p>
      <w:pPr>
        <w:spacing w:before="5"/>
        <w:ind w:left="520"/>
        <w:rPr>
          <w:color w:val="auto"/>
          <w:sz w:val="18"/>
        </w:rPr>
      </w:pPr>
      <w:r>
        <w:rPr>
          <w:color w:val="auto"/>
          <w:sz w:val="18"/>
        </w:rPr>
        <w:t xml:space="preserve">注：如为联合体投标，需提供联合体各方的。 </w:t>
      </w:r>
    </w:p>
    <w:p>
      <w:pPr>
        <w:ind w:left="659"/>
        <w:rPr>
          <w:color w:val="auto"/>
          <w:sz w:val="28"/>
        </w:rPr>
      </w:pPr>
      <w:r>
        <w:rPr>
          <w:color w:val="auto"/>
          <w:sz w:val="28"/>
        </w:rPr>
        <w:t xml:space="preserve"> </w:t>
      </w:r>
    </w:p>
    <w:p>
      <w:pPr>
        <w:rPr>
          <w:rFonts w:ascii="Times New Roman"/>
          <w:color w:val="auto"/>
          <w:sz w:val="20"/>
        </w:rPr>
        <w:sectPr>
          <w:pgSz w:w="11910" w:h="16850"/>
          <w:pgMar w:top="1600" w:right="700" w:bottom="1040" w:left="920" w:header="0" w:footer="853" w:gutter="0"/>
          <w:cols w:space="720" w:num="1"/>
        </w:sectPr>
      </w:pPr>
    </w:p>
    <w:p>
      <w:pPr>
        <w:pStyle w:val="8"/>
        <w:spacing w:before="1"/>
        <w:rPr>
          <w:b/>
          <w:color w:val="auto"/>
          <w:sz w:val="17"/>
        </w:rPr>
      </w:pPr>
    </w:p>
    <w:p>
      <w:pPr>
        <w:spacing w:before="67"/>
        <w:ind w:left="4" w:right="223"/>
        <w:jc w:val="center"/>
        <w:rPr>
          <w:b/>
          <w:color w:val="auto"/>
          <w:sz w:val="24"/>
        </w:rPr>
      </w:pPr>
      <w:bookmarkStart w:id="331" w:name="（二）近三年完成的类似项目情况表"/>
      <w:bookmarkEnd w:id="331"/>
      <w:r>
        <w:rPr>
          <w:b/>
          <w:color w:val="auto"/>
          <w:sz w:val="24"/>
        </w:rPr>
        <w:t>（二）近三年完成的类似项目情况表</w:t>
      </w:r>
    </w:p>
    <w:p>
      <w:pPr>
        <w:pStyle w:val="8"/>
        <w:spacing w:before="4"/>
        <w:rPr>
          <w:b/>
          <w:color w:val="auto"/>
          <w:sz w:val="12"/>
        </w:rPr>
      </w:pPr>
    </w:p>
    <w:tbl>
      <w:tblPr>
        <w:tblStyle w:val="34"/>
        <w:tblW w:w="8525" w:type="dxa"/>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45"/>
              <w:spacing w:before="133"/>
              <w:ind w:left="588" w:right="580"/>
              <w:jc w:val="center"/>
              <w:rPr>
                <w:color w:val="auto"/>
                <w:sz w:val="21"/>
              </w:rPr>
            </w:pPr>
            <w:r>
              <w:rPr>
                <w:color w:val="auto"/>
                <w:sz w:val="21"/>
              </w:rPr>
              <w:t>项目名称</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45"/>
              <w:spacing w:before="99"/>
              <w:ind w:left="588" w:right="580"/>
              <w:jc w:val="center"/>
              <w:rPr>
                <w:color w:val="auto"/>
                <w:sz w:val="21"/>
              </w:rPr>
            </w:pPr>
            <w:r>
              <w:rPr>
                <w:color w:val="auto"/>
                <w:sz w:val="21"/>
              </w:rPr>
              <w:t>项目所在地</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45"/>
              <w:spacing w:before="104"/>
              <w:ind w:left="588" w:right="580"/>
              <w:jc w:val="center"/>
              <w:rPr>
                <w:color w:val="auto"/>
                <w:sz w:val="21"/>
              </w:rPr>
            </w:pPr>
            <w:r>
              <w:rPr>
                <w:color w:val="auto"/>
                <w:sz w:val="21"/>
              </w:rPr>
              <w:t>发包人名称</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45"/>
              <w:spacing w:before="101"/>
              <w:ind w:left="588" w:right="580"/>
              <w:jc w:val="center"/>
              <w:rPr>
                <w:color w:val="auto"/>
                <w:sz w:val="21"/>
              </w:rPr>
            </w:pPr>
            <w:r>
              <w:rPr>
                <w:color w:val="auto"/>
                <w:sz w:val="21"/>
              </w:rPr>
              <w:t>发包人地址</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269" w:type="dxa"/>
          </w:tcPr>
          <w:p>
            <w:pPr>
              <w:pStyle w:val="45"/>
              <w:spacing w:before="105"/>
              <w:ind w:left="588" w:right="580"/>
              <w:jc w:val="center"/>
              <w:rPr>
                <w:color w:val="auto"/>
                <w:sz w:val="21"/>
              </w:rPr>
            </w:pPr>
            <w:r>
              <w:rPr>
                <w:color w:val="auto"/>
                <w:sz w:val="21"/>
              </w:rPr>
              <w:t>项目规模</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45"/>
              <w:spacing w:before="101"/>
              <w:ind w:left="588" w:right="580"/>
              <w:jc w:val="center"/>
              <w:rPr>
                <w:color w:val="auto"/>
                <w:sz w:val="21"/>
              </w:rPr>
            </w:pPr>
            <w:r>
              <w:rPr>
                <w:color w:val="auto"/>
                <w:sz w:val="21"/>
              </w:rPr>
              <w:t>合同价格</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45"/>
              <w:spacing w:before="99"/>
              <w:ind w:left="588" w:right="580"/>
              <w:jc w:val="center"/>
              <w:rPr>
                <w:color w:val="auto"/>
                <w:sz w:val="21"/>
              </w:rPr>
            </w:pPr>
            <w:r>
              <w:rPr>
                <w:color w:val="auto"/>
                <w:sz w:val="21"/>
              </w:rPr>
              <w:t>开工日期</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69" w:type="dxa"/>
          </w:tcPr>
          <w:p>
            <w:pPr>
              <w:pStyle w:val="45"/>
              <w:spacing w:before="111"/>
              <w:ind w:left="586" w:right="580"/>
              <w:jc w:val="center"/>
              <w:rPr>
                <w:color w:val="auto"/>
                <w:sz w:val="21"/>
              </w:rPr>
            </w:pPr>
            <w:r>
              <w:rPr>
                <w:color w:val="auto"/>
                <w:sz w:val="21"/>
              </w:rPr>
              <w:t>竣工日期</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45"/>
              <w:spacing w:before="102"/>
              <w:ind w:left="588" w:right="580"/>
              <w:jc w:val="center"/>
              <w:rPr>
                <w:color w:val="auto"/>
                <w:sz w:val="21"/>
              </w:rPr>
            </w:pPr>
            <w:r>
              <w:rPr>
                <w:color w:val="auto"/>
                <w:sz w:val="21"/>
              </w:rPr>
              <w:t>承担的工作</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69" w:type="dxa"/>
          </w:tcPr>
          <w:p>
            <w:pPr>
              <w:pStyle w:val="45"/>
              <w:spacing w:before="106"/>
              <w:ind w:left="588" w:right="580"/>
              <w:jc w:val="center"/>
              <w:rPr>
                <w:color w:val="auto"/>
                <w:sz w:val="21"/>
              </w:rPr>
            </w:pPr>
            <w:r>
              <w:rPr>
                <w:color w:val="auto"/>
                <w:sz w:val="21"/>
              </w:rPr>
              <w:t>技术负责人</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2269" w:type="dxa"/>
          </w:tcPr>
          <w:p>
            <w:pPr>
              <w:pStyle w:val="45"/>
              <w:rPr>
                <w:b/>
                <w:color w:val="auto"/>
                <w:sz w:val="20"/>
              </w:rPr>
            </w:pPr>
          </w:p>
          <w:p>
            <w:pPr>
              <w:pStyle w:val="45"/>
              <w:rPr>
                <w:b/>
                <w:color w:val="auto"/>
                <w:sz w:val="20"/>
              </w:rPr>
            </w:pPr>
          </w:p>
          <w:p>
            <w:pPr>
              <w:pStyle w:val="45"/>
              <w:spacing w:before="11"/>
              <w:rPr>
                <w:b/>
                <w:color w:val="auto"/>
                <w:sz w:val="27"/>
              </w:rPr>
            </w:pPr>
          </w:p>
          <w:p>
            <w:pPr>
              <w:pStyle w:val="45"/>
              <w:ind w:left="588" w:right="580"/>
              <w:jc w:val="center"/>
              <w:rPr>
                <w:color w:val="auto"/>
                <w:sz w:val="21"/>
              </w:rPr>
            </w:pPr>
            <w:r>
              <w:rPr>
                <w:color w:val="auto"/>
                <w:sz w:val="21"/>
              </w:rPr>
              <w:t>项目描述</w:t>
            </w:r>
          </w:p>
        </w:tc>
        <w:tc>
          <w:tcPr>
            <w:tcW w:w="625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45"/>
              <w:spacing w:before="99"/>
              <w:ind w:left="588" w:right="578"/>
              <w:jc w:val="center"/>
              <w:rPr>
                <w:color w:val="auto"/>
                <w:sz w:val="21"/>
              </w:rPr>
            </w:pPr>
            <w:r>
              <w:rPr>
                <w:color w:val="auto"/>
                <w:sz w:val="21"/>
              </w:rPr>
              <w:t>备注</w:t>
            </w:r>
          </w:p>
        </w:tc>
        <w:tc>
          <w:tcPr>
            <w:tcW w:w="6256" w:type="dxa"/>
          </w:tcPr>
          <w:p>
            <w:pPr>
              <w:pStyle w:val="45"/>
              <w:rPr>
                <w:rFonts w:ascii="Times New Roman"/>
                <w:color w:val="auto"/>
                <w:sz w:val="20"/>
              </w:rPr>
            </w:pPr>
          </w:p>
        </w:tc>
      </w:tr>
    </w:tbl>
    <w:p>
      <w:pPr>
        <w:pStyle w:val="8"/>
        <w:spacing w:before="1"/>
        <w:ind w:left="520"/>
        <w:rPr>
          <w:color w:val="auto"/>
        </w:rPr>
      </w:pPr>
      <w:r>
        <w:rPr>
          <w:color w:val="auto"/>
        </w:rPr>
        <w:t>注：</w:t>
      </w:r>
      <w:r>
        <w:rPr>
          <w:rFonts w:ascii="Times New Roman" w:eastAsia="Times New Roman"/>
          <w:color w:val="auto"/>
        </w:rPr>
        <w:t>1.</w:t>
      </w:r>
      <w:r>
        <w:rPr>
          <w:color w:val="auto"/>
        </w:rPr>
        <w:t>本表后附类似项目业绩证明资料复印件，复印件加盖投标人公章。</w:t>
      </w:r>
    </w:p>
    <w:p>
      <w:pPr>
        <w:rPr>
          <w:color w:val="auto"/>
        </w:rPr>
        <w:sectPr>
          <w:pgSz w:w="11910" w:h="16850"/>
          <w:pgMar w:top="1600" w:right="700" w:bottom="1040" w:left="920" w:header="0" w:footer="853" w:gutter="0"/>
          <w:cols w:space="720" w:num="1"/>
        </w:sectPr>
      </w:pPr>
    </w:p>
    <w:p>
      <w:pPr>
        <w:pStyle w:val="8"/>
        <w:spacing w:before="1"/>
        <w:rPr>
          <w:color w:val="auto"/>
          <w:sz w:val="17"/>
        </w:rPr>
      </w:pPr>
    </w:p>
    <w:p>
      <w:pPr>
        <w:pStyle w:val="41"/>
        <w:spacing w:before="67"/>
        <w:ind w:left="6" w:right="223" w:firstLine="0"/>
        <w:jc w:val="center"/>
        <w:rPr>
          <w:color w:val="auto"/>
        </w:rPr>
      </w:pPr>
      <w:bookmarkStart w:id="332" w:name="（三）正在实施的和新承接的项目情况表"/>
      <w:bookmarkEnd w:id="332"/>
      <w:r>
        <w:rPr>
          <w:color w:val="auto"/>
        </w:rPr>
        <w:t>（三）正在实施的和新承接的项目情况表</w:t>
      </w:r>
    </w:p>
    <w:p>
      <w:pPr>
        <w:pStyle w:val="8"/>
        <w:spacing w:before="4"/>
        <w:rPr>
          <w:b/>
          <w:color w:val="auto"/>
          <w:sz w:val="12"/>
        </w:rPr>
      </w:pPr>
    </w:p>
    <w:tbl>
      <w:tblPr>
        <w:tblStyle w:val="34"/>
        <w:tblW w:w="8524" w:type="dxa"/>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6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120" w:type="dxa"/>
          </w:tcPr>
          <w:p>
            <w:pPr>
              <w:pStyle w:val="45"/>
              <w:spacing w:before="133"/>
              <w:ind w:left="409" w:right="401"/>
              <w:jc w:val="center"/>
              <w:rPr>
                <w:color w:val="auto"/>
                <w:sz w:val="21"/>
              </w:rPr>
            </w:pPr>
            <w:r>
              <w:rPr>
                <w:color w:val="auto"/>
                <w:sz w:val="21"/>
              </w:rPr>
              <w:t>项目名称</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120" w:type="dxa"/>
          </w:tcPr>
          <w:p>
            <w:pPr>
              <w:pStyle w:val="45"/>
              <w:spacing w:before="99"/>
              <w:ind w:left="409" w:right="401"/>
              <w:jc w:val="center"/>
              <w:rPr>
                <w:color w:val="auto"/>
                <w:sz w:val="21"/>
              </w:rPr>
            </w:pPr>
            <w:r>
              <w:rPr>
                <w:color w:val="auto"/>
                <w:sz w:val="21"/>
              </w:rPr>
              <w:t>项目所在地</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20" w:type="dxa"/>
          </w:tcPr>
          <w:p>
            <w:pPr>
              <w:pStyle w:val="45"/>
              <w:spacing w:before="104"/>
              <w:ind w:left="409" w:right="401"/>
              <w:jc w:val="center"/>
              <w:rPr>
                <w:color w:val="auto"/>
                <w:sz w:val="21"/>
              </w:rPr>
            </w:pPr>
            <w:r>
              <w:rPr>
                <w:color w:val="auto"/>
                <w:sz w:val="21"/>
              </w:rPr>
              <w:t>发包人名称</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20" w:type="dxa"/>
          </w:tcPr>
          <w:p>
            <w:pPr>
              <w:pStyle w:val="45"/>
              <w:spacing w:before="101"/>
              <w:ind w:left="409" w:right="401"/>
              <w:jc w:val="center"/>
              <w:rPr>
                <w:color w:val="auto"/>
                <w:sz w:val="21"/>
              </w:rPr>
            </w:pPr>
            <w:r>
              <w:rPr>
                <w:color w:val="auto"/>
                <w:sz w:val="21"/>
              </w:rPr>
              <w:t>发包人地址</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120" w:type="dxa"/>
          </w:tcPr>
          <w:p>
            <w:pPr>
              <w:pStyle w:val="45"/>
              <w:spacing w:before="105"/>
              <w:ind w:left="409" w:right="401"/>
              <w:jc w:val="center"/>
              <w:rPr>
                <w:color w:val="auto"/>
                <w:sz w:val="21"/>
              </w:rPr>
            </w:pPr>
            <w:r>
              <w:rPr>
                <w:color w:val="auto"/>
                <w:sz w:val="21"/>
              </w:rPr>
              <w:t>项目规模</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20" w:type="dxa"/>
          </w:tcPr>
          <w:p>
            <w:pPr>
              <w:pStyle w:val="45"/>
              <w:spacing w:before="101"/>
              <w:ind w:left="409" w:right="401"/>
              <w:jc w:val="center"/>
              <w:rPr>
                <w:color w:val="auto"/>
                <w:sz w:val="21"/>
              </w:rPr>
            </w:pPr>
            <w:r>
              <w:rPr>
                <w:color w:val="auto"/>
                <w:sz w:val="21"/>
              </w:rPr>
              <w:t>签约合同价</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120" w:type="dxa"/>
          </w:tcPr>
          <w:p>
            <w:pPr>
              <w:pStyle w:val="45"/>
              <w:spacing w:before="99"/>
              <w:ind w:left="409" w:right="401"/>
              <w:jc w:val="center"/>
              <w:rPr>
                <w:color w:val="auto"/>
                <w:sz w:val="21"/>
              </w:rPr>
            </w:pPr>
            <w:r>
              <w:rPr>
                <w:color w:val="auto"/>
                <w:sz w:val="21"/>
              </w:rPr>
              <w:t>开工日期</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120" w:type="dxa"/>
          </w:tcPr>
          <w:p>
            <w:pPr>
              <w:pStyle w:val="45"/>
              <w:spacing w:before="111"/>
              <w:ind w:left="409" w:right="401"/>
              <w:jc w:val="center"/>
              <w:rPr>
                <w:color w:val="auto"/>
                <w:sz w:val="21"/>
              </w:rPr>
            </w:pPr>
            <w:r>
              <w:rPr>
                <w:color w:val="auto"/>
                <w:sz w:val="21"/>
              </w:rPr>
              <w:t>计划竣工日期</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120" w:type="dxa"/>
          </w:tcPr>
          <w:p>
            <w:pPr>
              <w:pStyle w:val="45"/>
              <w:spacing w:before="102"/>
              <w:ind w:left="409" w:right="401"/>
              <w:jc w:val="center"/>
              <w:rPr>
                <w:color w:val="auto"/>
                <w:sz w:val="21"/>
              </w:rPr>
            </w:pPr>
            <w:r>
              <w:rPr>
                <w:color w:val="auto"/>
                <w:sz w:val="21"/>
              </w:rPr>
              <w:t>承担的工作</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20" w:type="dxa"/>
          </w:tcPr>
          <w:p>
            <w:pPr>
              <w:pStyle w:val="45"/>
              <w:spacing w:before="106"/>
              <w:ind w:left="409" w:right="401"/>
              <w:jc w:val="center"/>
              <w:rPr>
                <w:color w:val="auto"/>
                <w:sz w:val="21"/>
              </w:rPr>
            </w:pPr>
            <w:r>
              <w:rPr>
                <w:color w:val="auto"/>
                <w:sz w:val="21"/>
              </w:rPr>
              <w:t>技术负责人</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2120" w:type="dxa"/>
          </w:tcPr>
          <w:p>
            <w:pPr>
              <w:pStyle w:val="45"/>
              <w:rPr>
                <w:b/>
                <w:color w:val="auto"/>
                <w:sz w:val="20"/>
              </w:rPr>
            </w:pPr>
          </w:p>
          <w:p>
            <w:pPr>
              <w:pStyle w:val="45"/>
              <w:spacing w:before="6"/>
              <w:rPr>
                <w:b/>
                <w:color w:val="auto"/>
                <w:sz w:val="20"/>
              </w:rPr>
            </w:pPr>
          </w:p>
          <w:p>
            <w:pPr>
              <w:pStyle w:val="45"/>
              <w:spacing w:before="1"/>
              <w:ind w:left="409" w:right="401"/>
              <w:jc w:val="center"/>
              <w:rPr>
                <w:color w:val="auto"/>
                <w:sz w:val="21"/>
              </w:rPr>
            </w:pPr>
            <w:r>
              <w:rPr>
                <w:color w:val="auto"/>
                <w:sz w:val="21"/>
              </w:rPr>
              <w:t>项目描述</w:t>
            </w:r>
          </w:p>
        </w:tc>
        <w:tc>
          <w:tcPr>
            <w:tcW w:w="6404"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120" w:type="dxa"/>
          </w:tcPr>
          <w:p>
            <w:pPr>
              <w:pStyle w:val="45"/>
              <w:spacing w:before="73"/>
              <w:ind w:left="409" w:right="398"/>
              <w:jc w:val="center"/>
              <w:rPr>
                <w:color w:val="auto"/>
                <w:sz w:val="21"/>
              </w:rPr>
            </w:pPr>
            <w:r>
              <w:rPr>
                <w:color w:val="auto"/>
                <w:sz w:val="21"/>
              </w:rPr>
              <w:t>备注</w:t>
            </w:r>
          </w:p>
        </w:tc>
        <w:tc>
          <w:tcPr>
            <w:tcW w:w="6404" w:type="dxa"/>
          </w:tcPr>
          <w:p>
            <w:pPr>
              <w:pStyle w:val="45"/>
              <w:rPr>
                <w:rFonts w:ascii="Times New Roman"/>
                <w:color w:val="auto"/>
                <w:sz w:val="20"/>
              </w:rPr>
            </w:pPr>
          </w:p>
        </w:tc>
      </w:tr>
    </w:tbl>
    <w:p>
      <w:pPr>
        <w:rPr>
          <w:rFonts w:ascii="Times New Roman"/>
          <w:color w:val="auto"/>
          <w:sz w:val="20"/>
        </w:rPr>
        <w:sectPr>
          <w:pgSz w:w="11910" w:h="16850"/>
          <w:pgMar w:top="1600" w:right="700" w:bottom="1040" w:left="920" w:header="0" w:footer="853" w:gutter="0"/>
          <w:cols w:space="720" w:num="1"/>
        </w:sectPr>
      </w:pPr>
    </w:p>
    <w:p>
      <w:pPr>
        <w:pStyle w:val="8"/>
        <w:rPr>
          <w:b/>
          <w:color w:val="auto"/>
          <w:sz w:val="20"/>
        </w:rPr>
      </w:pPr>
    </w:p>
    <w:p>
      <w:pPr>
        <w:pStyle w:val="8"/>
        <w:spacing w:before="11"/>
        <w:rPr>
          <w:b/>
          <w:color w:val="auto"/>
          <w:sz w:val="15"/>
        </w:rPr>
      </w:pPr>
    </w:p>
    <w:p>
      <w:pPr>
        <w:spacing w:before="66"/>
        <w:ind w:left="100"/>
        <w:rPr>
          <w:b/>
          <w:color w:val="auto"/>
          <w:sz w:val="24"/>
        </w:rPr>
      </w:pPr>
      <w:bookmarkStart w:id="333" w:name="（四）证件复印件（所有证书和资料复印件与扫描件同等效力）"/>
      <w:bookmarkEnd w:id="333"/>
      <w:r>
        <w:rPr>
          <w:b/>
          <w:color w:val="auto"/>
          <w:sz w:val="24"/>
        </w:rPr>
        <w:t>（四）证件复印件（所有证书和资料复印件与扫描件同等效力）</w:t>
      </w:r>
    </w:p>
    <w:p>
      <w:pPr>
        <w:pStyle w:val="8"/>
        <w:spacing w:before="162"/>
        <w:ind w:left="626"/>
        <w:rPr>
          <w:color w:val="auto"/>
        </w:rPr>
      </w:pPr>
      <w:r>
        <w:rPr>
          <w:color w:val="auto"/>
        </w:rPr>
        <w:t xml:space="preserve">包含： </w:t>
      </w:r>
    </w:p>
    <w:p>
      <w:pPr>
        <w:spacing w:before="139" w:line="364" w:lineRule="auto"/>
        <w:ind w:left="100" w:right="316" w:firstLine="480"/>
        <w:rPr>
          <w:color w:val="auto"/>
          <w:sz w:val="21"/>
        </w:rPr>
      </w:pPr>
      <w:r>
        <w:rPr>
          <w:color w:val="auto"/>
          <w:spacing w:val="-7"/>
          <w:sz w:val="21"/>
        </w:rPr>
        <w:t>企业营业执照、资质证书、安全生产许可证书、</w:t>
      </w:r>
      <w:r>
        <w:rPr>
          <w:b/>
          <w:color w:val="auto"/>
          <w:spacing w:val="-4"/>
          <w:sz w:val="21"/>
        </w:rPr>
        <w:t>湖南省外企业入湘施工登记证明</w:t>
      </w:r>
      <w:r>
        <w:rPr>
          <w:b/>
          <w:color w:val="auto"/>
          <w:sz w:val="21"/>
        </w:rPr>
        <w:t>（</w:t>
      </w:r>
      <w:r>
        <w:rPr>
          <w:b/>
          <w:color w:val="auto"/>
          <w:spacing w:val="-1"/>
          <w:sz w:val="21"/>
        </w:rPr>
        <w:t>仅省外企业提供</w:t>
      </w:r>
      <w:r>
        <w:rPr>
          <w:b/>
          <w:color w:val="auto"/>
          <w:spacing w:val="-19"/>
          <w:sz w:val="21"/>
        </w:rPr>
        <w:t>）</w:t>
      </w:r>
      <w:r>
        <w:rPr>
          <w:color w:val="auto"/>
          <w:sz w:val="21"/>
        </w:rPr>
        <w:t>的</w:t>
      </w:r>
      <w:r>
        <w:rPr>
          <w:color w:val="auto"/>
          <w:spacing w:val="-1"/>
          <w:sz w:val="21"/>
        </w:rPr>
        <w:t xml:space="preserve">复印件。 </w:t>
      </w:r>
    </w:p>
    <w:p>
      <w:pPr>
        <w:spacing w:line="364" w:lineRule="auto"/>
        <w:rPr>
          <w:color w:val="auto"/>
          <w:sz w:val="21"/>
        </w:rPr>
      </w:pPr>
    </w:p>
    <w:p>
      <w:pPr>
        <w:spacing w:before="5"/>
        <w:ind w:left="520"/>
        <w:rPr>
          <w:color w:val="auto"/>
          <w:sz w:val="18"/>
        </w:rPr>
      </w:pPr>
      <w:r>
        <w:rPr>
          <w:color w:val="auto"/>
          <w:sz w:val="18"/>
        </w:rPr>
        <w:t xml:space="preserve">注：如为联合体投标，需提供联合体各方的。 </w:t>
      </w:r>
    </w:p>
    <w:p>
      <w:pPr>
        <w:ind w:left="659"/>
        <w:rPr>
          <w:color w:val="auto"/>
          <w:sz w:val="28"/>
        </w:rPr>
      </w:pPr>
      <w:r>
        <w:rPr>
          <w:color w:val="auto"/>
          <w:sz w:val="28"/>
        </w:rPr>
        <w:t xml:space="preserve"> </w:t>
      </w:r>
    </w:p>
    <w:p>
      <w:pPr>
        <w:spacing w:line="364" w:lineRule="auto"/>
        <w:rPr>
          <w:color w:val="auto"/>
          <w:sz w:val="21"/>
        </w:rPr>
        <w:sectPr>
          <w:pgSz w:w="11910" w:h="16850"/>
          <w:pgMar w:top="1600" w:right="700" w:bottom="1040" w:left="920" w:header="0" w:footer="853" w:gutter="0"/>
          <w:cols w:space="720" w:num="1"/>
        </w:sectPr>
      </w:pPr>
    </w:p>
    <w:p>
      <w:pPr>
        <w:pStyle w:val="8"/>
        <w:spacing w:before="1"/>
        <w:rPr>
          <w:color w:val="auto"/>
          <w:sz w:val="17"/>
        </w:rPr>
      </w:pPr>
    </w:p>
    <w:p>
      <w:pPr>
        <w:pStyle w:val="41"/>
        <w:spacing w:before="67"/>
        <w:ind w:left="100" w:firstLine="0"/>
        <w:rPr>
          <w:color w:val="auto"/>
        </w:rPr>
      </w:pPr>
      <w:bookmarkStart w:id="334" w:name="（五）拟投入本项目的主要施工设备表"/>
      <w:bookmarkEnd w:id="334"/>
      <w:r>
        <w:rPr>
          <w:color w:val="auto"/>
        </w:rPr>
        <w:t>（五）拟投入本项目的主要施工设备表</w:t>
      </w:r>
    </w:p>
    <w:p>
      <w:pPr>
        <w:pStyle w:val="8"/>
        <w:rPr>
          <w:b/>
          <w:color w:val="auto"/>
          <w:sz w:val="20"/>
        </w:rPr>
      </w:pPr>
    </w:p>
    <w:p>
      <w:pPr>
        <w:pStyle w:val="8"/>
        <w:spacing w:before="4"/>
        <w:rPr>
          <w:b/>
          <w:color w:val="auto"/>
          <w:sz w:val="19"/>
        </w:rPr>
      </w:pPr>
    </w:p>
    <w:tbl>
      <w:tblPr>
        <w:tblStyle w:val="34"/>
        <w:tblW w:w="9682"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02"/>
        <w:gridCol w:w="845"/>
        <w:gridCol w:w="1094"/>
        <w:gridCol w:w="744"/>
        <w:gridCol w:w="819"/>
        <w:gridCol w:w="1342"/>
        <w:gridCol w:w="968"/>
        <w:gridCol w:w="1167"/>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735" w:type="dxa"/>
          </w:tcPr>
          <w:p>
            <w:pPr>
              <w:pStyle w:val="45"/>
              <w:spacing w:before="2"/>
              <w:rPr>
                <w:b/>
                <w:color w:val="auto"/>
                <w:sz w:val="16"/>
              </w:rPr>
            </w:pPr>
          </w:p>
          <w:p>
            <w:pPr>
              <w:pStyle w:val="45"/>
              <w:ind w:left="107"/>
              <w:rPr>
                <w:color w:val="auto"/>
                <w:sz w:val="21"/>
              </w:rPr>
            </w:pPr>
            <w:r>
              <w:rPr>
                <w:color w:val="auto"/>
                <w:sz w:val="21"/>
              </w:rPr>
              <w:t>序号</w:t>
            </w:r>
          </w:p>
        </w:tc>
        <w:tc>
          <w:tcPr>
            <w:tcW w:w="1202" w:type="dxa"/>
          </w:tcPr>
          <w:p>
            <w:pPr>
              <w:pStyle w:val="45"/>
              <w:spacing w:before="2"/>
              <w:rPr>
                <w:b/>
                <w:color w:val="auto"/>
                <w:sz w:val="16"/>
              </w:rPr>
            </w:pPr>
          </w:p>
          <w:p>
            <w:pPr>
              <w:pStyle w:val="45"/>
              <w:ind w:left="179"/>
              <w:rPr>
                <w:color w:val="auto"/>
                <w:sz w:val="21"/>
              </w:rPr>
            </w:pPr>
            <w:r>
              <w:rPr>
                <w:color w:val="auto"/>
                <w:sz w:val="21"/>
              </w:rPr>
              <w:t>设备名称</w:t>
            </w:r>
          </w:p>
        </w:tc>
        <w:tc>
          <w:tcPr>
            <w:tcW w:w="845" w:type="dxa"/>
          </w:tcPr>
          <w:p>
            <w:pPr>
              <w:pStyle w:val="45"/>
              <w:spacing w:before="1"/>
              <w:ind w:left="211"/>
              <w:rPr>
                <w:color w:val="auto"/>
                <w:sz w:val="21"/>
              </w:rPr>
            </w:pPr>
            <w:r>
              <w:rPr>
                <w:color w:val="auto"/>
                <w:sz w:val="21"/>
              </w:rPr>
              <w:t>型号</w:t>
            </w:r>
          </w:p>
          <w:p>
            <w:pPr>
              <w:pStyle w:val="45"/>
              <w:spacing w:before="141"/>
              <w:ind w:left="211"/>
              <w:rPr>
                <w:color w:val="auto"/>
                <w:sz w:val="21"/>
              </w:rPr>
            </w:pPr>
            <w:r>
              <w:rPr>
                <w:color w:val="auto"/>
                <w:sz w:val="21"/>
              </w:rPr>
              <w:t>规格</w:t>
            </w:r>
          </w:p>
        </w:tc>
        <w:tc>
          <w:tcPr>
            <w:tcW w:w="1094" w:type="dxa"/>
          </w:tcPr>
          <w:p>
            <w:pPr>
              <w:pStyle w:val="45"/>
              <w:spacing w:before="2"/>
              <w:rPr>
                <w:b/>
                <w:color w:val="auto"/>
                <w:sz w:val="16"/>
              </w:rPr>
            </w:pPr>
          </w:p>
          <w:p>
            <w:pPr>
              <w:pStyle w:val="45"/>
              <w:ind w:left="336"/>
              <w:rPr>
                <w:color w:val="auto"/>
                <w:sz w:val="21"/>
              </w:rPr>
            </w:pPr>
            <w:r>
              <w:rPr>
                <w:color w:val="auto"/>
                <w:sz w:val="21"/>
              </w:rPr>
              <w:t>数量</w:t>
            </w:r>
          </w:p>
        </w:tc>
        <w:tc>
          <w:tcPr>
            <w:tcW w:w="744" w:type="dxa"/>
          </w:tcPr>
          <w:p>
            <w:pPr>
              <w:pStyle w:val="45"/>
              <w:spacing w:before="1"/>
              <w:ind w:left="161"/>
              <w:rPr>
                <w:color w:val="auto"/>
                <w:sz w:val="21"/>
              </w:rPr>
            </w:pPr>
            <w:r>
              <w:rPr>
                <w:color w:val="auto"/>
                <w:sz w:val="21"/>
              </w:rPr>
              <w:t>国别</w:t>
            </w:r>
          </w:p>
          <w:p>
            <w:pPr>
              <w:pStyle w:val="45"/>
              <w:spacing w:before="141"/>
              <w:ind w:left="161"/>
              <w:rPr>
                <w:color w:val="auto"/>
                <w:sz w:val="21"/>
              </w:rPr>
            </w:pPr>
            <w:r>
              <w:rPr>
                <w:color w:val="auto"/>
                <w:sz w:val="21"/>
              </w:rPr>
              <w:t>产地</w:t>
            </w:r>
          </w:p>
        </w:tc>
        <w:tc>
          <w:tcPr>
            <w:tcW w:w="819" w:type="dxa"/>
          </w:tcPr>
          <w:p>
            <w:pPr>
              <w:pStyle w:val="45"/>
              <w:spacing w:before="1"/>
              <w:ind w:left="197"/>
              <w:rPr>
                <w:color w:val="auto"/>
                <w:sz w:val="21"/>
              </w:rPr>
            </w:pPr>
            <w:r>
              <w:rPr>
                <w:color w:val="auto"/>
                <w:sz w:val="21"/>
              </w:rPr>
              <w:t>制造</w:t>
            </w:r>
          </w:p>
          <w:p>
            <w:pPr>
              <w:pStyle w:val="45"/>
              <w:spacing w:before="141"/>
              <w:ind w:left="197"/>
              <w:rPr>
                <w:color w:val="auto"/>
                <w:sz w:val="21"/>
              </w:rPr>
            </w:pPr>
            <w:r>
              <w:rPr>
                <w:color w:val="auto"/>
                <w:sz w:val="21"/>
              </w:rPr>
              <w:t>年份</w:t>
            </w:r>
          </w:p>
        </w:tc>
        <w:tc>
          <w:tcPr>
            <w:tcW w:w="1342" w:type="dxa"/>
          </w:tcPr>
          <w:p>
            <w:pPr>
              <w:pStyle w:val="45"/>
              <w:spacing w:before="1"/>
              <w:ind w:left="250"/>
              <w:rPr>
                <w:color w:val="auto"/>
                <w:sz w:val="21"/>
              </w:rPr>
            </w:pPr>
            <w:r>
              <w:rPr>
                <w:color w:val="auto"/>
                <w:sz w:val="21"/>
              </w:rPr>
              <w:t>额定功率</w:t>
            </w:r>
          </w:p>
          <w:p>
            <w:pPr>
              <w:pStyle w:val="45"/>
              <w:spacing w:before="141"/>
              <w:ind w:left="310"/>
              <w:rPr>
                <w:color w:val="auto"/>
                <w:sz w:val="21"/>
              </w:rPr>
            </w:pPr>
            <w:r>
              <w:rPr>
                <w:color w:val="auto"/>
                <w:sz w:val="21"/>
              </w:rPr>
              <w:t>（</w:t>
            </w:r>
            <w:r>
              <w:rPr>
                <w:rFonts w:ascii="Times New Roman" w:eastAsia="Times New Roman"/>
                <w:color w:val="auto"/>
                <w:sz w:val="21"/>
              </w:rPr>
              <w:t>kW</w:t>
            </w:r>
            <w:r>
              <w:rPr>
                <w:color w:val="auto"/>
                <w:sz w:val="21"/>
              </w:rPr>
              <w:t>）</w:t>
            </w:r>
          </w:p>
        </w:tc>
        <w:tc>
          <w:tcPr>
            <w:tcW w:w="968" w:type="dxa"/>
          </w:tcPr>
          <w:p>
            <w:pPr>
              <w:pStyle w:val="45"/>
              <w:spacing w:before="1"/>
              <w:ind w:left="273"/>
              <w:rPr>
                <w:color w:val="auto"/>
                <w:sz w:val="21"/>
              </w:rPr>
            </w:pPr>
            <w:r>
              <w:rPr>
                <w:color w:val="auto"/>
                <w:sz w:val="21"/>
              </w:rPr>
              <w:t>生产</w:t>
            </w:r>
          </w:p>
          <w:p>
            <w:pPr>
              <w:pStyle w:val="45"/>
              <w:spacing w:before="141"/>
              <w:ind w:left="273"/>
              <w:rPr>
                <w:color w:val="auto"/>
                <w:sz w:val="21"/>
              </w:rPr>
            </w:pPr>
            <w:r>
              <w:rPr>
                <w:color w:val="auto"/>
                <w:sz w:val="21"/>
              </w:rPr>
              <w:t>能力</w:t>
            </w:r>
          </w:p>
        </w:tc>
        <w:tc>
          <w:tcPr>
            <w:tcW w:w="1167" w:type="dxa"/>
          </w:tcPr>
          <w:p>
            <w:pPr>
              <w:pStyle w:val="45"/>
              <w:spacing w:before="1"/>
              <w:ind w:left="144" w:right="133"/>
              <w:jc w:val="center"/>
              <w:rPr>
                <w:color w:val="auto"/>
                <w:sz w:val="21"/>
              </w:rPr>
            </w:pPr>
            <w:r>
              <w:rPr>
                <w:color w:val="auto"/>
                <w:sz w:val="21"/>
              </w:rPr>
              <w:t>用于施工</w:t>
            </w:r>
          </w:p>
          <w:p>
            <w:pPr>
              <w:pStyle w:val="45"/>
              <w:spacing w:before="141"/>
              <w:ind w:left="144" w:right="130"/>
              <w:jc w:val="center"/>
              <w:rPr>
                <w:color w:val="auto"/>
                <w:sz w:val="21"/>
              </w:rPr>
            </w:pPr>
            <w:r>
              <w:rPr>
                <w:color w:val="auto"/>
                <w:sz w:val="21"/>
              </w:rPr>
              <w:t>部位</w:t>
            </w:r>
          </w:p>
        </w:tc>
        <w:tc>
          <w:tcPr>
            <w:tcW w:w="766" w:type="dxa"/>
          </w:tcPr>
          <w:p>
            <w:pPr>
              <w:pStyle w:val="45"/>
              <w:spacing w:before="2"/>
              <w:rPr>
                <w:b/>
                <w:color w:val="auto"/>
                <w:sz w:val="16"/>
              </w:rPr>
            </w:pPr>
          </w:p>
          <w:p>
            <w:pPr>
              <w:pStyle w:val="45"/>
              <w:ind w:left="172"/>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5" w:type="dxa"/>
          </w:tcPr>
          <w:p>
            <w:pPr>
              <w:pStyle w:val="45"/>
              <w:rPr>
                <w:rFonts w:ascii="Times New Roman"/>
                <w:color w:val="auto"/>
                <w:sz w:val="20"/>
              </w:rPr>
            </w:pPr>
          </w:p>
        </w:tc>
        <w:tc>
          <w:tcPr>
            <w:tcW w:w="1202" w:type="dxa"/>
          </w:tcPr>
          <w:p>
            <w:pPr>
              <w:pStyle w:val="45"/>
              <w:rPr>
                <w:rFonts w:ascii="Times New Roman"/>
                <w:color w:val="auto"/>
                <w:sz w:val="20"/>
              </w:rPr>
            </w:pPr>
          </w:p>
        </w:tc>
        <w:tc>
          <w:tcPr>
            <w:tcW w:w="845" w:type="dxa"/>
          </w:tcPr>
          <w:p>
            <w:pPr>
              <w:pStyle w:val="45"/>
              <w:rPr>
                <w:rFonts w:ascii="Times New Roman"/>
                <w:color w:val="auto"/>
                <w:sz w:val="20"/>
              </w:rPr>
            </w:pPr>
          </w:p>
        </w:tc>
        <w:tc>
          <w:tcPr>
            <w:tcW w:w="1094" w:type="dxa"/>
          </w:tcPr>
          <w:p>
            <w:pPr>
              <w:pStyle w:val="45"/>
              <w:rPr>
                <w:rFonts w:ascii="Times New Roman"/>
                <w:color w:val="auto"/>
                <w:sz w:val="20"/>
              </w:rPr>
            </w:pPr>
          </w:p>
        </w:tc>
        <w:tc>
          <w:tcPr>
            <w:tcW w:w="744" w:type="dxa"/>
          </w:tcPr>
          <w:p>
            <w:pPr>
              <w:pStyle w:val="45"/>
              <w:rPr>
                <w:rFonts w:ascii="Times New Roman"/>
                <w:color w:val="auto"/>
                <w:sz w:val="20"/>
              </w:rPr>
            </w:pPr>
          </w:p>
        </w:tc>
        <w:tc>
          <w:tcPr>
            <w:tcW w:w="819" w:type="dxa"/>
          </w:tcPr>
          <w:p>
            <w:pPr>
              <w:pStyle w:val="45"/>
              <w:rPr>
                <w:rFonts w:ascii="Times New Roman"/>
                <w:color w:val="auto"/>
                <w:sz w:val="20"/>
              </w:rPr>
            </w:pPr>
          </w:p>
        </w:tc>
        <w:tc>
          <w:tcPr>
            <w:tcW w:w="1342" w:type="dxa"/>
          </w:tcPr>
          <w:p>
            <w:pPr>
              <w:pStyle w:val="45"/>
              <w:rPr>
                <w:rFonts w:ascii="Times New Roman"/>
                <w:color w:val="auto"/>
                <w:sz w:val="20"/>
              </w:rPr>
            </w:pPr>
          </w:p>
        </w:tc>
        <w:tc>
          <w:tcPr>
            <w:tcW w:w="968" w:type="dxa"/>
          </w:tcPr>
          <w:p>
            <w:pPr>
              <w:pStyle w:val="45"/>
              <w:rPr>
                <w:rFonts w:ascii="Times New Roman"/>
                <w:color w:val="auto"/>
                <w:sz w:val="20"/>
              </w:rPr>
            </w:pPr>
          </w:p>
        </w:tc>
        <w:tc>
          <w:tcPr>
            <w:tcW w:w="1167" w:type="dxa"/>
          </w:tcPr>
          <w:p>
            <w:pPr>
              <w:pStyle w:val="45"/>
              <w:rPr>
                <w:rFonts w:ascii="Times New Roman"/>
                <w:color w:val="auto"/>
                <w:sz w:val="20"/>
              </w:rPr>
            </w:pPr>
          </w:p>
        </w:tc>
        <w:tc>
          <w:tcPr>
            <w:tcW w:w="766" w:type="dxa"/>
          </w:tcPr>
          <w:p>
            <w:pPr>
              <w:pStyle w:val="45"/>
              <w:rPr>
                <w:rFonts w:ascii="Times New Roman"/>
                <w:color w:val="auto"/>
                <w:sz w:val="20"/>
              </w:rPr>
            </w:pPr>
          </w:p>
        </w:tc>
      </w:tr>
    </w:tbl>
    <w:p>
      <w:pPr>
        <w:rPr>
          <w:rFonts w:ascii="Times New Roman"/>
          <w:color w:val="auto"/>
          <w:sz w:val="20"/>
        </w:rPr>
        <w:sectPr>
          <w:pgSz w:w="11910" w:h="16850"/>
          <w:pgMar w:top="1600" w:right="700" w:bottom="1040" w:left="920" w:header="0" w:footer="853" w:gutter="0"/>
          <w:cols w:space="720" w:num="1"/>
        </w:sectPr>
      </w:pPr>
    </w:p>
    <w:p>
      <w:pPr>
        <w:pStyle w:val="8"/>
        <w:spacing w:before="1"/>
        <w:rPr>
          <w:b/>
          <w:color w:val="auto"/>
          <w:sz w:val="17"/>
        </w:rPr>
      </w:pPr>
    </w:p>
    <w:p>
      <w:pPr>
        <w:spacing w:before="67"/>
        <w:ind w:left="3" w:right="223"/>
        <w:jc w:val="center"/>
        <w:rPr>
          <w:b/>
          <w:color w:val="auto"/>
          <w:sz w:val="24"/>
        </w:rPr>
      </w:pPr>
      <w:bookmarkStart w:id="335" w:name="（六）拟配备本项目的试验和检测仪器设备表"/>
      <w:bookmarkEnd w:id="335"/>
      <w:r>
        <w:rPr>
          <w:b/>
          <w:color w:val="auto"/>
          <w:sz w:val="24"/>
        </w:rPr>
        <w:t>（六）拟配备本项目的试验和检测仪器设备表</w:t>
      </w:r>
    </w:p>
    <w:p>
      <w:pPr>
        <w:pStyle w:val="8"/>
        <w:spacing w:before="4"/>
        <w:rPr>
          <w:b/>
          <w:color w:val="auto"/>
          <w:sz w:val="12"/>
        </w:rPr>
      </w:pPr>
    </w:p>
    <w:tbl>
      <w:tblPr>
        <w:tblStyle w:val="34"/>
        <w:tblW w:w="9546"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253"/>
        <w:gridCol w:w="858"/>
        <w:gridCol w:w="1117"/>
        <w:gridCol w:w="757"/>
        <w:gridCol w:w="834"/>
        <w:gridCol w:w="1366"/>
        <w:gridCol w:w="1863"/>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23" w:type="dxa"/>
          </w:tcPr>
          <w:p>
            <w:pPr>
              <w:pStyle w:val="45"/>
              <w:spacing w:before="2"/>
              <w:rPr>
                <w:b/>
                <w:color w:val="auto"/>
                <w:sz w:val="16"/>
              </w:rPr>
            </w:pPr>
          </w:p>
          <w:p>
            <w:pPr>
              <w:pStyle w:val="45"/>
              <w:ind w:left="108"/>
              <w:rPr>
                <w:color w:val="auto"/>
                <w:sz w:val="21"/>
              </w:rPr>
            </w:pPr>
            <w:r>
              <w:rPr>
                <w:color w:val="auto"/>
                <w:sz w:val="21"/>
              </w:rPr>
              <w:t>序号</w:t>
            </w:r>
          </w:p>
        </w:tc>
        <w:tc>
          <w:tcPr>
            <w:tcW w:w="1253" w:type="dxa"/>
          </w:tcPr>
          <w:p>
            <w:pPr>
              <w:pStyle w:val="45"/>
              <w:spacing w:before="1"/>
              <w:ind w:left="187" w:right="176"/>
              <w:jc w:val="center"/>
              <w:rPr>
                <w:color w:val="auto"/>
                <w:sz w:val="21"/>
              </w:rPr>
            </w:pPr>
            <w:r>
              <w:rPr>
                <w:color w:val="auto"/>
                <w:sz w:val="21"/>
              </w:rPr>
              <w:t>仪器设备</w:t>
            </w:r>
          </w:p>
          <w:p>
            <w:pPr>
              <w:pStyle w:val="45"/>
              <w:spacing w:before="141"/>
              <w:ind w:left="185" w:right="176"/>
              <w:jc w:val="center"/>
              <w:rPr>
                <w:color w:val="auto"/>
                <w:sz w:val="21"/>
              </w:rPr>
            </w:pPr>
            <w:r>
              <w:rPr>
                <w:color w:val="auto"/>
                <w:sz w:val="21"/>
              </w:rPr>
              <w:t>名称</w:t>
            </w:r>
          </w:p>
        </w:tc>
        <w:tc>
          <w:tcPr>
            <w:tcW w:w="858" w:type="dxa"/>
          </w:tcPr>
          <w:p>
            <w:pPr>
              <w:pStyle w:val="45"/>
              <w:spacing w:before="1"/>
              <w:ind w:left="217"/>
              <w:rPr>
                <w:color w:val="auto"/>
                <w:sz w:val="21"/>
              </w:rPr>
            </w:pPr>
            <w:r>
              <w:rPr>
                <w:color w:val="auto"/>
                <w:sz w:val="21"/>
              </w:rPr>
              <w:t>型号</w:t>
            </w:r>
          </w:p>
          <w:p>
            <w:pPr>
              <w:pStyle w:val="45"/>
              <w:spacing w:before="141"/>
              <w:ind w:left="217"/>
              <w:rPr>
                <w:color w:val="auto"/>
                <w:sz w:val="21"/>
              </w:rPr>
            </w:pPr>
            <w:r>
              <w:rPr>
                <w:color w:val="auto"/>
                <w:sz w:val="21"/>
              </w:rPr>
              <w:t>规格</w:t>
            </w:r>
          </w:p>
        </w:tc>
        <w:tc>
          <w:tcPr>
            <w:tcW w:w="1117" w:type="dxa"/>
          </w:tcPr>
          <w:p>
            <w:pPr>
              <w:pStyle w:val="45"/>
              <w:spacing w:before="2"/>
              <w:rPr>
                <w:b/>
                <w:color w:val="auto"/>
                <w:sz w:val="16"/>
              </w:rPr>
            </w:pPr>
          </w:p>
          <w:p>
            <w:pPr>
              <w:pStyle w:val="45"/>
              <w:ind w:left="344"/>
              <w:rPr>
                <w:color w:val="auto"/>
                <w:sz w:val="21"/>
              </w:rPr>
            </w:pPr>
            <w:r>
              <w:rPr>
                <w:color w:val="auto"/>
                <w:sz w:val="21"/>
              </w:rPr>
              <w:t>数量</w:t>
            </w:r>
          </w:p>
        </w:tc>
        <w:tc>
          <w:tcPr>
            <w:tcW w:w="757" w:type="dxa"/>
          </w:tcPr>
          <w:p>
            <w:pPr>
              <w:pStyle w:val="45"/>
              <w:spacing w:before="1"/>
              <w:ind w:left="165"/>
              <w:rPr>
                <w:color w:val="auto"/>
                <w:sz w:val="21"/>
              </w:rPr>
            </w:pPr>
            <w:r>
              <w:rPr>
                <w:color w:val="auto"/>
                <w:sz w:val="21"/>
              </w:rPr>
              <w:t>国别</w:t>
            </w:r>
          </w:p>
          <w:p>
            <w:pPr>
              <w:pStyle w:val="45"/>
              <w:spacing w:before="141"/>
              <w:ind w:left="165"/>
              <w:rPr>
                <w:color w:val="auto"/>
                <w:sz w:val="21"/>
              </w:rPr>
            </w:pPr>
            <w:r>
              <w:rPr>
                <w:color w:val="auto"/>
                <w:sz w:val="21"/>
              </w:rPr>
              <w:t>产地</w:t>
            </w:r>
          </w:p>
        </w:tc>
        <w:tc>
          <w:tcPr>
            <w:tcW w:w="834" w:type="dxa"/>
          </w:tcPr>
          <w:p>
            <w:pPr>
              <w:pStyle w:val="45"/>
              <w:spacing w:before="1"/>
              <w:ind w:left="203"/>
              <w:rPr>
                <w:color w:val="auto"/>
                <w:sz w:val="21"/>
              </w:rPr>
            </w:pPr>
            <w:r>
              <w:rPr>
                <w:color w:val="auto"/>
                <w:sz w:val="21"/>
              </w:rPr>
              <w:t>制造</w:t>
            </w:r>
          </w:p>
          <w:p>
            <w:pPr>
              <w:pStyle w:val="45"/>
              <w:spacing w:before="141"/>
              <w:ind w:left="203"/>
              <w:rPr>
                <w:color w:val="auto"/>
                <w:sz w:val="21"/>
              </w:rPr>
            </w:pPr>
            <w:r>
              <w:rPr>
                <w:color w:val="auto"/>
                <w:sz w:val="21"/>
              </w:rPr>
              <w:t>年份</w:t>
            </w:r>
          </w:p>
        </w:tc>
        <w:tc>
          <w:tcPr>
            <w:tcW w:w="1366" w:type="dxa"/>
          </w:tcPr>
          <w:p>
            <w:pPr>
              <w:pStyle w:val="45"/>
              <w:spacing w:before="1"/>
              <w:ind w:left="133" w:right="132"/>
              <w:jc w:val="center"/>
              <w:rPr>
                <w:color w:val="auto"/>
                <w:sz w:val="21"/>
              </w:rPr>
            </w:pPr>
            <w:r>
              <w:rPr>
                <w:color w:val="auto"/>
                <w:sz w:val="21"/>
              </w:rPr>
              <w:t>已使用台时</w:t>
            </w:r>
          </w:p>
          <w:p>
            <w:pPr>
              <w:pStyle w:val="45"/>
              <w:spacing w:before="141"/>
              <w:jc w:val="center"/>
              <w:rPr>
                <w:color w:val="auto"/>
                <w:sz w:val="21"/>
              </w:rPr>
            </w:pPr>
            <w:r>
              <w:rPr>
                <w:color w:val="auto"/>
                <w:sz w:val="21"/>
              </w:rPr>
              <w:t>数</w:t>
            </w:r>
          </w:p>
        </w:tc>
        <w:tc>
          <w:tcPr>
            <w:tcW w:w="1863" w:type="dxa"/>
          </w:tcPr>
          <w:p>
            <w:pPr>
              <w:pStyle w:val="45"/>
              <w:spacing w:before="2"/>
              <w:rPr>
                <w:b/>
                <w:color w:val="auto"/>
                <w:sz w:val="16"/>
              </w:rPr>
            </w:pPr>
          </w:p>
          <w:p>
            <w:pPr>
              <w:pStyle w:val="45"/>
              <w:ind w:left="696" w:right="696"/>
              <w:jc w:val="center"/>
              <w:rPr>
                <w:color w:val="auto"/>
                <w:sz w:val="21"/>
              </w:rPr>
            </w:pPr>
            <w:r>
              <w:rPr>
                <w:color w:val="auto"/>
                <w:sz w:val="21"/>
              </w:rPr>
              <w:t>用途</w:t>
            </w:r>
          </w:p>
        </w:tc>
        <w:tc>
          <w:tcPr>
            <w:tcW w:w="775" w:type="dxa"/>
          </w:tcPr>
          <w:p>
            <w:pPr>
              <w:pStyle w:val="45"/>
              <w:spacing w:before="2"/>
              <w:rPr>
                <w:b/>
                <w:color w:val="auto"/>
                <w:sz w:val="16"/>
              </w:rPr>
            </w:pPr>
          </w:p>
          <w:p>
            <w:pPr>
              <w:pStyle w:val="45"/>
              <w:ind w:left="173"/>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23" w:type="dxa"/>
          </w:tcPr>
          <w:p>
            <w:pPr>
              <w:pStyle w:val="45"/>
              <w:rPr>
                <w:rFonts w:ascii="Times New Roman"/>
                <w:color w:val="auto"/>
              </w:rPr>
            </w:pPr>
          </w:p>
        </w:tc>
        <w:tc>
          <w:tcPr>
            <w:tcW w:w="1253" w:type="dxa"/>
          </w:tcPr>
          <w:p>
            <w:pPr>
              <w:pStyle w:val="45"/>
              <w:rPr>
                <w:rFonts w:ascii="Times New Roman"/>
                <w:color w:val="auto"/>
              </w:rPr>
            </w:pPr>
          </w:p>
        </w:tc>
        <w:tc>
          <w:tcPr>
            <w:tcW w:w="858" w:type="dxa"/>
          </w:tcPr>
          <w:p>
            <w:pPr>
              <w:pStyle w:val="45"/>
              <w:rPr>
                <w:rFonts w:ascii="Times New Roman"/>
                <w:color w:val="auto"/>
              </w:rPr>
            </w:pPr>
          </w:p>
        </w:tc>
        <w:tc>
          <w:tcPr>
            <w:tcW w:w="1117" w:type="dxa"/>
          </w:tcPr>
          <w:p>
            <w:pPr>
              <w:pStyle w:val="45"/>
              <w:rPr>
                <w:rFonts w:ascii="Times New Roman"/>
                <w:color w:val="auto"/>
              </w:rPr>
            </w:pPr>
          </w:p>
        </w:tc>
        <w:tc>
          <w:tcPr>
            <w:tcW w:w="757" w:type="dxa"/>
          </w:tcPr>
          <w:p>
            <w:pPr>
              <w:pStyle w:val="45"/>
              <w:rPr>
                <w:rFonts w:ascii="Times New Roman"/>
                <w:color w:val="auto"/>
              </w:rPr>
            </w:pPr>
          </w:p>
        </w:tc>
        <w:tc>
          <w:tcPr>
            <w:tcW w:w="834" w:type="dxa"/>
          </w:tcPr>
          <w:p>
            <w:pPr>
              <w:pStyle w:val="45"/>
              <w:rPr>
                <w:rFonts w:ascii="Times New Roman"/>
                <w:color w:val="auto"/>
              </w:rPr>
            </w:pPr>
          </w:p>
        </w:tc>
        <w:tc>
          <w:tcPr>
            <w:tcW w:w="1366" w:type="dxa"/>
          </w:tcPr>
          <w:p>
            <w:pPr>
              <w:pStyle w:val="45"/>
              <w:rPr>
                <w:rFonts w:ascii="Times New Roman"/>
                <w:color w:val="auto"/>
              </w:rPr>
            </w:pPr>
          </w:p>
        </w:tc>
        <w:tc>
          <w:tcPr>
            <w:tcW w:w="1863" w:type="dxa"/>
          </w:tcPr>
          <w:p>
            <w:pPr>
              <w:pStyle w:val="45"/>
              <w:rPr>
                <w:rFonts w:ascii="Times New Roman"/>
                <w:color w:val="auto"/>
              </w:rPr>
            </w:pPr>
          </w:p>
        </w:tc>
        <w:tc>
          <w:tcPr>
            <w:tcW w:w="775" w:type="dxa"/>
          </w:tcPr>
          <w:p>
            <w:pPr>
              <w:pStyle w:val="45"/>
              <w:rPr>
                <w:rFonts w:ascii="Times New Roman"/>
                <w:color w:val="auto"/>
              </w:rPr>
            </w:pPr>
          </w:p>
        </w:tc>
      </w:tr>
    </w:tbl>
    <w:p>
      <w:pPr>
        <w:rPr>
          <w:rFonts w:ascii="Times New Roman"/>
          <w:color w:val="auto"/>
        </w:rPr>
        <w:sectPr>
          <w:pgSz w:w="11910" w:h="16850"/>
          <w:pgMar w:top="1600" w:right="700" w:bottom="1040" w:left="920" w:header="0" w:footer="853" w:gutter="0"/>
          <w:cols w:space="720" w:num="1"/>
        </w:sectPr>
      </w:pPr>
    </w:p>
    <w:p>
      <w:pPr>
        <w:pStyle w:val="8"/>
        <w:spacing w:before="1"/>
        <w:rPr>
          <w:b/>
          <w:color w:val="auto"/>
        </w:rPr>
      </w:pPr>
    </w:p>
    <w:p>
      <w:pPr>
        <w:spacing w:before="66"/>
        <w:ind w:left="7" w:right="223"/>
        <w:jc w:val="center"/>
        <w:rPr>
          <w:b/>
          <w:color w:val="auto"/>
          <w:sz w:val="24"/>
        </w:rPr>
      </w:pPr>
      <w:bookmarkStart w:id="336" w:name="（七）项目管理机构组成表"/>
      <w:bookmarkEnd w:id="336"/>
      <w:r>
        <w:rPr>
          <w:b/>
          <w:color w:val="auto"/>
          <w:sz w:val="24"/>
        </w:rPr>
        <w:t>（七）项目管理机构组成表</w:t>
      </w:r>
    </w:p>
    <w:p>
      <w:pPr>
        <w:pStyle w:val="8"/>
        <w:spacing w:before="7"/>
        <w:rPr>
          <w:b/>
          <w:color w:val="auto"/>
          <w:sz w:val="12"/>
        </w:rPr>
      </w:pPr>
    </w:p>
    <w:tbl>
      <w:tblPr>
        <w:tblStyle w:val="34"/>
        <w:tblW w:w="9411" w:type="dxa"/>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95"/>
        <w:gridCol w:w="793"/>
        <w:gridCol w:w="1194"/>
        <w:gridCol w:w="793"/>
        <w:gridCol w:w="798"/>
        <w:gridCol w:w="793"/>
        <w:gridCol w:w="2786"/>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16" w:type="dxa"/>
            <w:vMerge w:val="restart"/>
          </w:tcPr>
          <w:p>
            <w:pPr>
              <w:pStyle w:val="45"/>
              <w:spacing w:before="8"/>
              <w:rPr>
                <w:b/>
                <w:color w:val="auto"/>
                <w:sz w:val="17"/>
              </w:rPr>
            </w:pPr>
          </w:p>
          <w:p>
            <w:pPr>
              <w:pStyle w:val="45"/>
              <w:ind w:left="146"/>
              <w:rPr>
                <w:color w:val="auto"/>
                <w:sz w:val="21"/>
              </w:rPr>
            </w:pPr>
            <w:r>
              <w:rPr>
                <w:color w:val="auto"/>
                <w:sz w:val="21"/>
              </w:rPr>
              <w:t>职务</w:t>
            </w:r>
          </w:p>
        </w:tc>
        <w:tc>
          <w:tcPr>
            <w:tcW w:w="795" w:type="dxa"/>
            <w:vMerge w:val="restart"/>
          </w:tcPr>
          <w:p>
            <w:pPr>
              <w:pStyle w:val="45"/>
              <w:spacing w:before="8"/>
              <w:rPr>
                <w:b/>
                <w:color w:val="auto"/>
                <w:sz w:val="17"/>
              </w:rPr>
            </w:pPr>
          </w:p>
          <w:p>
            <w:pPr>
              <w:pStyle w:val="45"/>
              <w:ind w:left="186"/>
              <w:rPr>
                <w:color w:val="auto"/>
                <w:sz w:val="21"/>
              </w:rPr>
            </w:pPr>
            <w:r>
              <w:rPr>
                <w:color w:val="auto"/>
                <w:sz w:val="21"/>
              </w:rPr>
              <w:t>姓名</w:t>
            </w:r>
          </w:p>
        </w:tc>
        <w:tc>
          <w:tcPr>
            <w:tcW w:w="793" w:type="dxa"/>
            <w:vMerge w:val="restart"/>
          </w:tcPr>
          <w:p>
            <w:pPr>
              <w:pStyle w:val="45"/>
              <w:spacing w:before="8"/>
              <w:rPr>
                <w:b/>
                <w:color w:val="auto"/>
                <w:sz w:val="17"/>
              </w:rPr>
            </w:pPr>
          </w:p>
          <w:p>
            <w:pPr>
              <w:pStyle w:val="45"/>
              <w:ind w:left="183"/>
              <w:rPr>
                <w:color w:val="auto"/>
                <w:sz w:val="21"/>
              </w:rPr>
            </w:pPr>
            <w:r>
              <w:rPr>
                <w:color w:val="auto"/>
                <w:sz w:val="21"/>
              </w:rPr>
              <w:t>职称</w:t>
            </w:r>
          </w:p>
        </w:tc>
        <w:tc>
          <w:tcPr>
            <w:tcW w:w="6364" w:type="dxa"/>
            <w:gridSpan w:val="5"/>
          </w:tcPr>
          <w:p>
            <w:pPr>
              <w:pStyle w:val="45"/>
              <w:spacing w:before="8"/>
              <w:ind w:left="2212" w:right="2212"/>
              <w:jc w:val="center"/>
              <w:rPr>
                <w:color w:val="auto"/>
                <w:sz w:val="21"/>
              </w:rPr>
            </w:pPr>
            <w:r>
              <w:rPr>
                <w:color w:val="auto"/>
                <w:sz w:val="21"/>
              </w:rPr>
              <w:t>执业或职业资格证明</w:t>
            </w:r>
          </w:p>
        </w:tc>
        <w:tc>
          <w:tcPr>
            <w:tcW w:w="743" w:type="dxa"/>
          </w:tcPr>
          <w:p>
            <w:pPr>
              <w:pStyle w:val="45"/>
              <w:spacing w:before="8"/>
              <w:ind w:left="153"/>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16" w:type="dxa"/>
            <w:vMerge w:val="continue"/>
            <w:tcBorders>
              <w:top w:val="nil"/>
            </w:tcBorders>
          </w:tcPr>
          <w:p>
            <w:pPr>
              <w:rPr>
                <w:color w:val="auto"/>
                <w:sz w:val="2"/>
                <w:szCs w:val="2"/>
              </w:rPr>
            </w:pPr>
          </w:p>
        </w:tc>
        <w:tc>
          <w:tcPr>
            <w:tcW w:w="795" w:type="dxa"/>
            <w:vMerge w:val="continue"/>
            <w:tcBorders>
              <w:top w:val="nil"/>
            </w:tcBorders>
          </w:tcPr>
          <w:p>
            <w:pPr>
              <w:rPr>
                <w:color w:val="auto"/>
                <w:sz w:val="2"/>
                <w:szCs w:val="2"/>
              </w:rPr>
            </w:pPr>
          </w:p>
        </w:tc>
        <w:tc>
          <w:tcPr>
            <w:tcW w:w="793" w:type="dxa"/>
            <w:vMerge w:val="continue"/>
            <w:tcBorders>
              <w:top w:val="nil"/>
            </w:tcBorders>
          </w:tcPr>
          <w:p>
            <w:pPr>
              <w:rPr>
                <w:color w:val="auto"/>
                <w:sz w:val="2"/>
                <w:szCs w:val="2"/>
              </w:rPr>
            </w:pPr>
          </w:p>
        </w:tc>
        <w:tc>
          <w:tcPr>
            <w:tcW w:w="1194" w:type="dxa"/>
          </w:tcPr>
          <w:p>
            <w:pPr>
              <w:pStyle w:val="45"/>
              <w:spacing w:before="8"/>
              <w:ind w:left="173"/>
              <w:rPr>
                <w:color w:val="auto"/>
                <w:sz w:val="21"/>
              </w:rPr>
            </w:pPr>
            <w:r>
              <w:rPr>
                <w:color w:val="auto"/>
                <w:sz w:val="21"/>
              </w:rPr>
              <w:t>证书名称</w:t>
            </w:r>
          </w:p>
        </w:tc>
        <w:tc>
          <w:tcPr>
            <w:tcW w:w="793" w:type="dxa"/>
          </w:tcPr>
          <w:p>
            <w:pPr>
              <w:pStyle w:val="45"/>
              <w:spacing w:before="8"/>
              <w:ind w:left="181"/>
              <w:rPr>
                <w:color w:val="auto"/>
                <w:sz w:val="21"/>
              </w:rPr>
            </w:pPr>
            <w:r>
              <w:rPr>
                <w:color w:val="auto"/>
                <w:sz w:val="21"/>
              </w:rPr>
              <w:t>级别</w:t>
            </w:r>
          </w:p>
        </w:tc>
        <w:tc>
          <w:tcPr>
            <w:tcW w:w="798" w:type="dxa"/>
          </w:tcPr>
          <w:p>
            <w:pPr>
              <w:pStyle w:val="45"/>
              <w:spacing w:before="8"/>
              <w:ind w:left="183"/>
              <w:rPr>
                <w:color w:val="auto"/>
                <w:sz w:val="21"/>
              </w:rPr>
            </w:pPr>
            <w:r>
              <w:rPr>
                <w:color w:val="auto"/>
                <w:sz w:val="21"/>
              </w:rPr>
              <w:t>证号</w:t>
            </w:r>
          </w:p>
        </w:tc>
        <w:tc>
          <w:tcPr>
            <w:tcW w:w="793" w:type="dxa"/>
          </w:tcPr>
          <w:p>
            <w:pPr>
              <w:pStyle w:val="45"/>
              <w:spacing w:before="8"/>
              <w:ind w:left="180"/>
              <w:rPr>
                <w:color w:val="auto"/>
                <w:sz w:val="21"/>
              </w:rPr>
            </w:pPr>
            <w:r>
              <w:rPr>
                <w:color w:val="auto"/>
                <w:sz w:val="21"/>
              </w:rPr>
              <w:t>专业</w:t>
            </w:r>
          </w:p>
        </w:tc>
        <w:tc>
          <w:tcPr>
            <w:tcW w:w="2786" w:type="dxa"/>
          </w:tcPr>
          <w:p>
            <w:pPr>
              <w:pStyle w:val="45"/>
              <w:spacing w:before="8"/>
              <w:ind w:left="1157" w:right="1158"/>
              <w:jc w:val="center"/>
              <w:rPr>
                <w:color w:val="auto"/>
                <w:sz w:val="21"/>
              </w:rPr>
            </w:pPr>
            <w:r>
              <w:rPr>
                <w:color w:val="auto"/>
                <w:sz w:val="21"/>
              </w:rPr>
              <w:t>社保</w:t>
            </w: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16" w:type="dxa"/>
          </w:tcPr>
          <w:p>
            <w:pPr>
              <w:pStyle w:val="45"/>
              <w:rPr>
                <w:rFonts w:ascii="Times New Roman"/>
                <w:color w:val="auto"/>
                <w:sz w:val="20"/>
              </w:rPr>
            </w:pPr>
          </w:p>
        </w:tc>
        <w:tc>
          <w:tcPr>
            <w:tcW w:w="795" w:type="dxa"/>
          </w:tcPr>
          <w:p>
            <w:pPr>
              <w:pStyle w:val="45"/>
              <w:rPr>
                <w:rFonts w:ascii="Times New Roman"/>
                <w:color w:val="auto"/>
                <w:sz w:val="20"/>
              </w:rPr>
            </w:pPr>
          </w:p>
        </w:tc>
        <w:tc>
          <w:tcPr>
            <w:tcW w:w="793" w:type="dxa"/>
          </w:tcPr>
          <w:p>
            <w:pPr>
              <w:pStyle w:val="45"/>
              <w:rPr>
                <w:rFonts w:ascii="Times New Roman"/>
                <w:color w:val="auto"/>
                <w:sz w:val="20"/>
              </w:rPr>
            </w:pPr>
          </w:p>
        </w:tc>
        <w:tc>
          <w:tcPr>
            <w:tcW w:w="1194" w:type="dxa"/>
          </w:tcPr>
          <w:p>
            <w:pPr>
              <w:pStyle w:val="45"/>
              <w:rPr>
                <w:rFonts w:ascii="Times New Roman"/>
                <w:color w:val="auto"/>
                <w:sz w:val="20"/>
              </w:rPr>
            </w:pPr>
          </w:p>
        </w:tc>
        <w:tc>
          <w:tcPr>
            <w:tcW w:w="793" w:type="dxa"/>
          </w:tcPr>
          <w:p>
            <w:pPr>
              <w:pStyle w:val="45"/>
              <w:rPr>
                <w:rFonts w:ascii="Times New Roman"/>
                <w:color w:val="auto"/>
                <w:sz w:val="20"/>
              </w:rPr>
            </w:pPr>
          </w:p>
        </w:tc>
        <w:tc>
          <w:tcPr>
            <w:tcW w:w="798" w:type="dxa"/>
          </w:tcPr>
          <w:p>
            <w:pPr>
              <w:pStyle w:val="45"/>
              <w:rPr>
                <w:rFonts w:ascii="Times New Roman"/>
                <w:color w:val="auto"/>
                <w:sz w:val="20"/>
              </w:rPr>
            </w:pPr>
          </w:p>
        </w:tc>
        <w:tc>
          <w:tcPr>
            <w:tcW w:w="793" w:type="dxa"/>
          </w:tcPr>
          <w:p>
            <w:pPr>
              <w:pStyle w:val="45"/>
              <w:rPr>
                <w:rFonts w:ascii="Times New Roman"/>
                <w:color w:val="auto"/>
                <w:sz w:val="20"/>
              </w:rPr>
            </w:pPr>
          </w:p>
        </w:tc>
        <w:tc>
          <w:tcPr>
            <w:tcW w:w="2786" w:type="dxa"/>
          </w:tcPr>
          <w:p>
            <w:pPr>
              <w:pStyle w:val="45"/>
              <w:rPr>
                <w:rFonts w:ascii="Times New Roman"/>
                <w:color w:val="auto"/>
                <w:sz w:val="20"/>
              </w:rPr>
            </w:pPr>
          </w:p>
        </w:tc>
        <w:tc>
          <w:tcPr>
            <w:tcW w:w="743" w:type="dxa"/>
          </w:tcPr>
          <w:p>
            <w:pPr>
              <w:pStyle w:val="45"/>
              <w:rPr>
                <w:rFonts w:ascii="Times New Roman"/>
                <w:color w:val="auto"/>
                <w:sz w:val="20"/>
              </w:rPr>
            </w:pPr>
          </w:p>
        </w:tc>
      </w:tr>
    </w:tbl>
    <w:p>
      <w:pPr>
        <w:rPr>
          <w:rFonts w:ascii="Times New Roman"/>
          <w:color w:val="auto"/>
          <w:sz w:val="20"/>
        </w:rPr>
        <w:sectPr>
          <w:pgSz w:w="11910" w:h="16850"/>
          <w:pgMar w:top="1600" w:right="700" w:bottom="1040" w:left="920" w:header="0" w:footer="853" w:gutter="0"/>
          <w:cols w:space="720" w:num="1"/>
        </w:sectPr>
      </w:pPr>
    </w:p>
    <w:p>
      <w:pPr>
        <w:pStyle w:val="8"/>
        <w:spacing w:before="1"/>
        <w:rPr>
          <w:b/>
          <w:color w:val="auto"/>
        </w:rPr>
      </w:pPr>
    </w:p>
    <w:p>
      <w:pPr>
        <w:spacing w:before="66"/>
        <w:ind w:left="100"/>
        <w:rPr>
          <w:b/>
          <w:color w:val="auto"/>
          <w:sz w:val="24"/>
        </w:rPr>
      </w:pPr>
      <w:bookmarkStart w:id="337" w:name="（八）主要人员简历表"/>
      <w:bookmarkEnd w:id="337"/>
      <w:r>
        <w:rPr>
          <w:b/>
          <w:color w:val="auto"/>
          <w:sz w:val="24"/>
        </w:rPr>
        <w:t>（八）主要人员简历表</w:t>
      </w:r>
    </w:p>
    <w:p>
      <w:pPr>
        <w:pStyle w:val="8"/>
        <w:spacing w:before="162" w:line="364" w:lineRule="auto"/>
        <w:ind w:left="100" w:right="210" w:firstLine="420"/>
        <w:rPr>
          <w:color w:val="auto"/>
        </w:rPr>
      </w:pPr>
      <w:r>
        <w:rPr>
          <w:color w:val="auto"/>
          <w:spacing w:val="-10"/>
        </w:rPr>
        <w:t xml:space="preserve">“主要人员简历表”中的项目经理应附身份证、注册建造师证、安全生产考核合格证、社保证明复印件， </w:t>
      </w:r>
      <w:r>
        <w:rPr>
          <w:color w:val="auto"/>
          <w:spacing w:val="-5"/>
        </w:rPr>
        <w:t>管理过的项目业绩须附相关证明资料；项目设计负责人应附身份证、资格证、社保证明复印件，管理过的项</w:t>
      </w:r>
      <w:r>
        <w:rPr>
          <w:color w:val="auto"/>
          <w:spacing w:val="-4"/>
        </w:rPr>
        <w:t>目业绩须附相关证明资料；技术负责人应附身份证、职称证、社保证明复印件；</w:t>
      </w:r>
    </w:p>
    <w:tbl>
      <w:tblPr>
        <w:tblStyle w:val="34"/>
        <w:tblW w:w="8518" w:type="dxa"/>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355"/>
        <w:gridCol w:w="723"/>
        <w:gridCol w:w="926"/>
        <w:gridCol w:w="1065"/>
        <w:gridCol w:w="705"/>
        <w:gridCol w:w="1261"/>
        <w:gridCol w:w="162"/>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8" w:type="dxa"/>
          </w:tcPr>
          <w:p>
            <w:pPr>
              <w:pStyle w:val="45"/>
              <w:spacing w:before="1"/>
              <w:ind w:left="205" w:right="90"/>
              <w:jc w:val="center"/>
              <w:rPr>
                <w:color w:val="auto"/>
                <w:sz w:val="21"/>
              </w:rPr>
            </w:pPr>
            <w:r>
              <w:rPr>
                <w:color w:val="auto"/>
                <w:sz w:val="21"/>
              </w:rPr>
              <w:t xml:space="preserve">姓名 </w:t>
            </w:r>
          </w:p>
        </w:tc>
        <w:tc>
          <w:tcPr>
            <w:tcW w:w="1078" w:type="dxa"/>
            <w:gridSpan w:val="2"/>
          </w:tcPr>
          <w:p>
            <w:pPr>
              <w:pStyle w:val="45"/>
              <w:spacing w:before="1"/>
              <w:ind w:left="117"/>
              <w:jc w:val="center"/>
              <w:rPr>
                <w:color w:val="auto"/>
                <w:sz w:val="21"/>
              </w:rPr>
            </w:pPr>
            <w:r>
              <w:rPr>
                <w:color w:val="auto"/>
                <w:sz w:val="21"/>
              </w:rPr>
              <w:t xml:space="preserve"> </w:t>
            </w:r>
          </w:p>
        </w:tc>
        <w:tc>
          <w:tcPr>
            <w:tcW w:w="926" w:type="dxa"/>
          </w:tcPr>
          <w:p>
            <w:pPr>
              <w:pStyle w:val="45"/>
              <w:spacing w:before="1"/>
              <w:ind w:right="136"/>
              <w:jc w:val="right"/>
              <w:rPr>
                <w:color w:val="auto"/>
                <w:sz w:val="21"/>
              </w:rPr>
            </w:pPr>
            <w:r>
              <w:rPr>
                <w:color w:val="auto"/>
                <w:sz w:val="21"/>
              </w:rPr>
              <w:t xml:space="preserve">年龄 </w:t>
            </w:r>
          </w:p>
        </w:tc>
        <w:tc>
          <w:tcPr>
            <w:tcW w:w="1065" w:type="dxa"/>
          </w:tcPr>
          <w:p>
            <w:pPr>
              <w:pStyle w:val="45"/>
              <w:spacing w:before="1"/>
              <w:ind w:right="414"/>
              <w:jc w:val="right"/>
              <w:rPr>
                <w:color w:val="auto"/>
                <w:sz w:val="21"/>
              </w:rPr>
            </w:pPr>
            <w:r>
              <w:rPr>
                <w:color w:val="auto"/>
                <w:sz w:val="21"/>
              </w:rPr>
              <w:t xml:space="preserve"> </w:t>
            </w:r>
          </w:p>
        </w:tc>
        <w:tc>
          <w:tcPr>
            <w:tcW w:w="2128" w:type="dxa"/>
            <w:gridSpan w:val="3"/>
          </w:tcPr>
          <w:p>
            <w:pPr>
              <w:pStyle w:val="45"/>
              <w:spacing w:before="1"/>
              <w:ind w:left="888" w:right="769"/>
              <w:jc w:val="center"/>
              <w:rPr>
                <w:color w:val="auto"/>
                <w:sz w:val="21"/>
              </w:rPr>
            </w:pPr>
            <w:r>
              <w:rPr>
                <w:color w:val="auto"/>
                <w:sz w:val="21"/>
              </w:rPr>
              <w:t xml:space="preserve">学历 </w:t>
            </w:r>
          </w:p>
        </w:tc>
        <w:tc>
          <w:tcPr>
            <w:tcW w:w="2133" w:type="dxa"/>
          </w:tcPr>
          <w:p>
            <w:pPr>
              <w:pStyle w:val="45"/>
              <w:spacing w:before="1"/>
              <w:ind w:right="944"/>
              <w:jc w:val="right"/>
              <w:rPr>
                <w:color w:val="auto"/>
                <w:sz w:val="21"/>
              </w:rPr>
            </w:pPr>
            <w:r>
              <w:rPr>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8" w:type="dxa"/>
          </w:tcPr>
          <w:p>
            <w:pPr>
              <w:pStyle w:val="45"/>
              <w:spacing w:before="1"/>
              <w:ind w:left="205" w:right="90"/>
              <w:jc w:val="center"/>
              <w:rPr>
                <w:color w:val="auto"/>
                <w:sz w:val="21"/>
              </w:rPr>
            </w:pPr>
            <w:r>
              <w:rPr>
                <w:color w:val="auto"/>
                <w:sz w:val="21"/>
              </w:rPr>
              <w:t xml:space="preserve">职称 </w:t>
            </w:r>
          </w:p>
        </w:tc>
        <w:tc>
          <w:tcPr>
            <w:tcW w:w="1078" w:type="dxa"/>
            <w:gridSpan w:val="2"/>
          </w:tcPr>
          <w:p>
            <w:pPr>
              <w:pStyle w:val="45"/>
              <w:spacing w:before="1"/>
              <w:ind w:left="117"/>
              <w:jc w:val="center"/>
              <w:rPr>
                <w:color w:val="auto"/>
                <w:sz w:val="21"/>
              </w:rPr>
            </w:pPr>
            <w:r>
              <w:rPr>
                <w:color w:val="auto"/>
                <w:sz w:val="21"/>
              </w:rPr>
              <w:t xml:space="preserve"> </w:t>
            </w:r>
          </w:p>
        </w:tc>
        <w:tc>
          <w:tcPr>
            <w:tcW w:w="926" w:type="dxa"/>
          </w:tcPr>
          <w:p>
            <w:pPr>
              <w:pStyle w:val="45"/>
              <w:spacing w:before="1"/>
              <w:ind w:right="136"/>
              <w:jc w:val="right"/>
              <w:rPr>
                <w:color w:val="auto"/>
                <w:sz w:val="21"/>
              </w:rPr>
            </w:pPr>
            <w:r>
              <w:rPr>
                <w:color w:val="auto"/>
                <w:sz w:val="21"/>
              </w:rPr>
              <w:t xml:space="preserve">职务 </w:t>
            </w:r>
          </w:p>
        </w:tc>
        <w:tc>
          <w:tcPr>
            <w:tcW w:w="1065" w:type="dxa"/>
          </w:tcPr>
          <w:p>
            <w:pPr>
              <w:pStyle w:val="45"/>
              <w:spacing w:before="1"/>
              <w:ind w:right="414"/>
              <w:jc w:val="right"/>
              <w:rPr>
                <w:color w:val="auto"/>
                <w:sz w:val="21"/>
              </w:rPr>
            </w:pPr>
            <w:r>
              <w:rPr>
                <w:color w:val="auto"/>
                <w:sz w:val="21"/>
              </w:rPr>
              <w:t xml:space="preserve"> </w:t>
            </w:r>
          </w:p>
        </w:tc>
        <w:tc>
          <w:tcPr>
            <w:tcW w:w="2128" w:type="dxa"/>
            <w:gridSpan w:val="3"/>
          </w:tcPr>
          <w:p>
            <w:pPr>
              <w:pStyle w:val="45"/>
              <w:spacing w:before="1"/>
              <w:ind w:left="329"/>
              <w:rPr>
                <w:color w:val="auto"/>
                <w:sz w:val="21"/>
              </w:rPr>
            </w:pPr>
            <w:r>
              <w:rPr>
                <w:color w:val="auto"/>
                <w:sz w:val="21"/>
              </w:rPr>
              <w:t xml:space="preserve">拟在本合同任职 </w:t>
            </w:r>
          </w:p>
        </w:tc>
        <w:tc>
          <w:tcPr>
            <w:tcW w:w="2133" w:type="dxa"/>
          </w:tcPr>
          <w:p>
            <w:pPr>
              <w:pStyle w:val="45"/>
              <w:spacing w:before="1"/>
              <w:ind w:right="944"/>
              <w:jc w:val="right"/>
              <w:rPr>
                <w:color w:val="auto"/>
                <w:sz w:val="21"/>
              </w:rPr>
            </w:pPr>
            <w:r>
              <w:rPr>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88" w:type="dxa"/>
          </w:tcPr>
          <w:p>
            <w:pPr>
              <w:pStyle w:val="45"/>
              <w:spacing w:before="1"/>
              <w:ind w:left="205" w:right="93"/>
              <w:jc w:val="center"/>
              <w:rPr>
                <w:color w:val="auto"/>
                <w:sz w:val="21"/>
              </w:rPr>
            </w:pPr>
            <w:r>
              <w:rPr>
                <w:color w:val="auto"/>
                <w:sz w:val="21"/>
              </w:rPr>
              <w:t xml:space="preserve">毕业学校 </w:t>
            </w:r>
          </w:p>
        </w:tc>
        <w:tc>
          <w:tcPr>
            <w:tcW w:w="7330" w:type="dxa"/>
            <w:gridSpan w:val="8"/>
          </w:tcPr>
          <w:p>
            <w:pPr>
              <w:pStyle w:val="45"/>
              <w:spacing w:before="1"/>
              <w:ind w:left="107"/>
              <w:rPr>
                <w:color w:val="auto"/>
                <w:sz w:val="21"/>
              </w:rPr>
            </w:pPr>
            <w:r>
              <w:rPr>
                <w:color w:val="auto"/>
                <w:sz w:val="21"/>
              </w:rPr>
              <w:t xml:space="preserve">年毕业于学校专业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518" w:type="dxa"/>
            <w:gridSpan w:val="9"/>
          </w:tcPr>
          <w:p>
            <w:pPr>
              <w:pStyle w:val="45"/>
              <w:spacing w:before="1"/>
              <w:ind w:left="107"/>
              <w:rPr>
                <w:color w:val="auto"/>
                <w:sz w:val="21"/>
              </w:rPr>
            </w:pPr>
            <w:r>
              <w:rPr>
                <w:color w:val="auto"/>
                <w:sz w:val="21"/>
              </w:rPr>
              <w:t xml:space="preserve">主要工作经历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543" w:type="dxa"/>
            <w:gridSpan w:val="2"/>
          </w:tcPr>
          <w:p>
            <w:pPr>
              <w:pStyle w:val="45"/>
              <w:spacing w:before="1"/>
              <w:ind w:left="107"/>
              <w:rPr>
                <w:color w:val="auto"/>
                <w:sz w:val="21"/>
              </w:rPr>
            </w:pPr>
            <w:r>
              <w:rPr>
                <w:color w:val="auto"/>
                <w:sz w:val="21"/>
              </w:rPr>
              <w:t xml:space="preserve">时间 </w:t>
            </w:r>
          </w:p>
        </w:tc>
        <w:tc>
          <w:tcPr>
            <w:tcW w:w="3419" w:type="dxa"/>
            <w:gridSpan w:val="4"/>
          </w:tcPr>
          <w:p>
            <w:pPr>
              <w:pStyle w:val="45"/>
              <w:spacing w:before="1"/>
              <w:ind w:left="107"/>
              <w:rPr>
                <w:color w:val="auto"/>
                <w:sz w:val="21"/>
              </w:rPr>
            </w:pPr>
            <w:r>
              <w:rPr>
                <w:color w:val="auto"/>
                <w:sz w:val="21"/>
              </w:rPr>
              <w:t xml:space="preserve">参加过的类似项目 </w:t>
            </w:r>
          </w:p>
        </w:tc>
        <w:tc>
          <w:tcPr>
            <w:tcW w:w="1261" w:type="dxa"/>
          </w:tcPr>
          <w:p>
            <w:pPr>
              <w:pStyle w:val="45"/>
              <w:spacing w:before="1"/>
              <w:ind w:left="109"/>
              <w:rPr>
                <w:color w:val="auto"/>
                <w:sz w:val="21"/>
              </w:rPr>
            </w:pPr>
            <w:r>
              <w:rPr>
                <w:color w:val="auto"/>
                <w:sz w:val="21"/>
              </w:rPr>
              <w:t xml:space="preserve">担任职务 </w:t>
            </w:r>
          </w:p>
        </w:tc>
        <w:tc>
          <w:tcPr>
            <w:tcW w:w="2295" w:type="dxa"/>
            <w:gridSpan w:val="2"/>
          </w:tcPr>
          <w:p>
            <w:pPr>
              <w:pStyle w:val="45"/>
              <w:spacing w:before="1"/>
              <w:ind w:left="111"/>
              <w:rPr>
                <w:color w:val="auto"/>
                <w:sz w:val="21"/>
              </w:rPr>
            </w:pPr>
            <w:r>
              <w:rPr>
                <w:color w:val="auto"/>
                <w:sz w:val="21"/>
              </w:rPr>
              <w:t xml:space="preserve">发包人及联系电话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3" w:type="dxa"/>
            <w:gridSpan w:val="2"/>
          </w:tcPr>
          <w:p>
            <w:pPr>
              <w:pStyle w:val="45"/>
              <w:rPr>
                <w:rFonts w:ascii="Times New Roman"/>
                <w:color w:val="auto"/>
                <w:sz w:val="20"/>
              </w:rPr>
            </w:pPr>
          </w:p>
        </w:tc>
        <w:tc>
          <w:tcPr>
            <w:tcW w:w="3419" w:type="dxa"/>
            <w:gridSpan w:val="4"/>
          </w:tcPr>
          <w:p>
            <w:pPr>
              <w:pStyle w:val="45"/>
              <w:rPr>
                <w:rFonts w:ascii="Times New Roman"/>
                <w:color w:val="auto"/>
                <w:sz w:val="20"/>
              </w:rPr>
            </w:pPr>
          </w:p>
        </w:tc>
        <w:tc>
          <w:tcPr>
            <w:tcW w:w="1261" w:type="dxa"/>
          </w:tcPr>
          <w:p>
            <w:pPr>
              <w:pStyle w:val="45"/>
              <w:rPr>
                <w:rFonts w:ascii="Times New Roman"/>
                <w:color w:val="auto"/>
                <w:sz w:val="20"/>
              </w:rPr>
            </w:pPr>
          </w:p>
        </w:tc>
        <w:tc>
          <w:tcPr>
            <w:tcW w:w="2295"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3" w:type="dxa"/>
            <w:gridSpan w:val="2"/>
          </w:tcPr>
          <w:p>
            <w:pPr>
              <w:pStyle w:val="45"/>
              <w:rPr>
                <w:rFonts w:ascii="Times New Roman"/>
                <w:color w:val="auto"/>
                <w:sz w:val="20"/>
              </w:rPr>
            </w:pPr>
          </w:p>
        </w:tc>
        <w:tc>
          <w:tcPr>
            <w:tcW w:w="3419" w:type="dxa"/>
            <w:gridSpan w:val="4"/>
          </w:tcPr>
          <w:p>
            <w:pPr>
              <w:pStyle w:val="45"/>
              <w:rPr>
                <w:rFonts w:ascii="Times New Roman"/>
                <w:color w:val="auto"/>
                <w:sz w:val="20"/>
              </w:rPr>
            </w:pPr>
          </w:p>
        </w:tc>
        <w:tc>
          <w:tcPr>
            <w:tcW w:w="1261" w:type="dxa"/>
          </w:tcPr>
          <w:p>
            <w:pPr>
              <w:pStyle w:val="45"/>
              <w:rPr>
                <w:rFonts w:ascii="Times New Roman"/>
                <w:color w:val="auto"/>
                <w:sz w:val="20"/>
              </w:rPr>
            </w:pPr>
          </w:p>
        </w:tc>
        <w:tc>
          <w:tcPr>
            <w:tcW w:w="2295"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3" w:type="dxa"/>
            <w:gridSpan w:val="2"/>
          </w:tcPr>
          <w:p>
            <w:pPr>
              <w:pStyle w:val="45"/>
              <w:rPr>
                <w:rFonts w:ascii="Times New Roman"/>
                <w:color w:val="auto"/>
                <w:sz w:val="20"/>
              </w:rPr>
            </w:pPr>
          </w:p>
        </w:tc>
        <w:tc>
          <w:tcPr>
            <w:tcW w:w="3419" w:type="dxa"/>
            <w:gridSpan w:val="4"/>
          </w:tcPr>
          <w:p>
            <w:pPr>
              <w:pStyle w:val="45"/>
              <w:rPr>
                <w:rFonts w:ascii="Times New Roman"/>
                <w:color w:val="auto"/>
                <w:sz w:val="20"/>
              </w:rPr>
            </w:pPr>
          </w:p>
        </w:tc>
        <w:tc>
          <w:tcPr>
            <w:tcW w:w="1261" w:type="dxa"/>
          </w:tcPr>
          <w:p>
            <w:pPr>
              <w:pStyle w:val="45"/>
              <w:rPr>
                <w:rFonts w:ascii="Times New Roman"/>
                <w:color w:val="auto"/>
                <w:sz w:val="20"/>
              </w:rPr>
            </w:pPr>
          </w:p>
        </w:tc>
        <w:tc>
          <w:tcPr>
            <w:tcW w:w="2295" w:type="dxa"/>
            <w:gridSpan w:val="2"/>
          </w:tcPr>
          <w:p>
            <w:pPr>
              <w:pStyle w:val="45"/>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3" w:type="dxa"/>
            <w:gridSpan w:val="2"/>
          </w:tcPr>
          <w:p>
            <w:pPr>
              <w:pStyle w:val="45"/>
              <w:rPr>
                <w:rFonts w:ascii="Times New Roman"/>
                <w:color w:val="auto"/>
                <w:sz w:val="20"/>
              </w:rPr>
            </w:pPr>
          </w:p>
        </w:tc>
        <w:tc>
          <w:tcPr>
            <w:tcW w:w="3419" w:type="dxa"/>
            <w:gridSpan w:val="4"/>
          </w:tcPr>
          <w:p>
            <w:pPr>
              <w:pStyle w:val="45"/>
              <w:rPr>
                <w:rFonts w:ascii="Times New Roman"/>
                <w:color w:val="auto"/>
                <w:sz w:val="20"/>
              </w:rPr>
            </w:pPr>
          </w:p>
        </w:tc>
        <w:tc>
          <w:tcPr>
            <w:tcW w:w="1261" w:type="dxa"/>
          </w:tcPr>
          <w:p>
            <w:pPr>
              <w:pStyle w:val="45"/>
              <w:rPr>
                <w:rFonts w:ascii="Times New Roman"/>
                <w:color w:val="auto"/>
                <w:sz w:val="20"/>
              </w:rPr>
            </w:pPr>
          </w:p>
        </w:tc>
        <w:tc>
          <w:tcPr>
            <w:tcW w:w="2295" w:type="dxa"/>
            <w:gridSpan w:val="2"/>
          </w:tcPr>
          <w:p>
            <w:pPr>
              <w:pStyle w:val="45"/>
              <w:rPr>
                <w:rFonts w:ascii="Times New Roman"/>
                <w:color w:val="auto"/>
                <w:sz w:val="20"/>
              </w:rPr>
            </w:pPr>
          </w:p>
        </w:tc>
      </w:tr>
    </w:tbl>
    <w:p>
      <w:pPr>
        <w:spacing w:line="364" w:lineRule="auto"/>
        <w:jc w:val="both"/>
        <w:rPr>
          <w:rFonts w:ascii="Times New Roman"/>
          <w:color w:val="auto"/>
          <w:sz w:val="20"/>
        </w:rPr>
      </w:pPr>
    </w:p>
    <w:p>
      <w:pPr>
        <w:spacing w:line="364" w:lineRule="auto"/>
        <w:jc w:val="both"/>
        <w:rPr>
          <w:rFonts w:ascii="Times New Roman"/>
          <w:b/>
          <w:bCs/>
          <w:color w:val="auto"/>
          <w:sz w:val="20"/>
        </w:rPr>
      </w:pPr>
    </w:p>
    <w:p>
      <w:pPr>
        <w:pStyle w:val="8"/>
        <w:spacing w:before="162" w:line="364" w:lineRule="auto"/>
        <w:ind w:left="100" w:right="210" w:firstLine="420"/>
        <w:rPr>
          <w:color w:val="auto"/>
          <w:spacing w:val="-10"/>
        </w:rPr>
        <w:sectPr>
          <w:pgSz w:w="11910" w:h="16850"/>
          <w:pgMar w:top="1600" w:right="700" w:bottom="1040" w:left="920" w:header="0" w:footer="853" w:gutter="0"/>
          <w:cols w:space="720" w:num="1"/>
        </w:sectPr>
      </w:pPr>
      <w:r>
        <w:rPr>
          <w:color w:val="auto"/>
          <w:spacing w:val="-10"/>
        </w:rPr>
        <w:t>拟任项目经理未在其他建设工程项目中担任同类职务的查询和证明方式：本省企业和省外入湘企业在 “湖南省建筑市场监管公共服务平台”查询。同时，请省外入湘企业提供企业所在地市州及以上住房城乡建设主管部门出具的未在其他建设工程项目中担任同类职务证明或提供官方网站查询的相关信息的网页截图。</w:t>
      </w:r>
    </w:p>
    <w:p>
      <w:pPr>
        <w:pStyle w:val="8"/>
        <w:rPr>
          <w:color w:val="auto"/>
          <w:sz w:val="20"/>
        </w:rPr>
      </w:pPr>
    </w:p>
    <w:p>
      <w:pPr>
        <w:pStyle w:val="41"/>
        <w:spacing w:before="212"/>
        <w:ind w:left="100" w:firstLine="0"/>
        <w:rPr>
          <w:color w:val="auto"/>
        </w:rPr>
      </w:pPr>
      <w:bookmarkStart w:id="338" w:name="（九）_企业体系认证情况附有关证明文件复印件"/>
      <w:bookmarkEnd w:id="338"/>
      <w:r>
        <w:rPr>
          <w:color w:val="auto"/>
        </w:rPr>
        <w:t>（九）企业体系认证情况附有关证明文件复印件</w:t>
      </w:r>
    </w:p>
    <w:p>
      <w:pPr>
        <w:pStyle w:val="8"/>
        <w:rPr>
          <w:b/>
          <w:color w:val="auto"/>
          <w:sz w:val="24"/>
        </w:rPr>
      </w:pPr>
    </w:p>
    <w:p>
      <w:pPr>
        <w:pStyle w:val="8"/>
        <w:rPr>
          <w:b/>
          <w:color w:val="auto"/>
          <w:sz w:val="24"/>
        </w:rPr>
      </w:pPr>
    </w:p>
    <w:p>
      <w:pPr>
        <w:pStyle w:val="8"/>
        <w:rPr>
          <w:b/>
          <w:color w:val="auto"/>
          <w:sz w:val="24"/>
        </w:rPr>
      </w:pPr>
    </w:p>
    <w:p>
      <w:pPr>
        <w:pStyle w:val="8"/>
        <w:rPr>
          <w:b/>
          <w:color w:val="auto"/>
          <w:sz w:val="24"/>
        </w:rPr>
      </w:pPr>
    </w:p>
    <w:p>
      <w:pPr>
        <w:pStyle w:val="8"/>
        <w:spacing w:before="9"/>
        <w:rPr>
          <w:b/>
          <w:color w:val="auto"/>
          <w:sz w:val="25"/>
        </w:rPr>
      </w:pPr>
    </w:p>
    <w:p>
      <w:pPr>
        <w:ind w:left="100"/>
        <w:rPr>
          <w:b/>
          <w:color w:val="auto"/>
          <w:sz w:val="24"/>
        </w:rPr>
      </w:pPr>
      <w:r>
        <w:rPr>
          <w:b/>
          <w:color w:val="auto"/>
          <w:sz w:val="21"/>
        </w:rPr>
        <w:t>（十）</w:t>
      </w:r>
      <w:r>
        <w:rPr>
          <w:b/>
          <w:color w:val="auto"/>
          <w:sz w:val="24"/>
        </w:rPr>
        <w:t>企业信誉和履约能力有关证明文件复印件</w:t>
      </w:r>
    </w:p>
    <w:p>
      <w:pPr>
        <w:pStyle w:val="8"/>
        <w:rPr>
          <w:b/>
          <w:color w:val="auto"/>
          <w:sz w:val="24"/>
        </w:rPr>
      </w:pPr>
    </w:p>
    <w:p>
      <w:pPr>
        <w:pStyle w:val="8"/>
        <w:spacing w:before="11"/>
        <w:rPr>
          <w:b/>
          <w:color w:val="auto"/>
          <w:sz w:val="18"/>
        </w:rPr>
      </w:pPr>
    </w:p>
    <w:p>
      <w:pPr>
        <w:ind w:left="100"/>
        <w:rPr>
          <w:b/>
          <w:color w:val="auto"/>
          <w:sz w:val="24"/>
        </w:rPr>
      </w:pPr>
      <w:r>
        <w:rPr>
          <w:b/>
          <w:color w:val="auto"/>
          <w:sz w:val="24"/>
        </w:rPr>
        <w:t>（十一）企业及拟任项目经理的不良行为记录发生情况</w:t>
      </w:r>
    </w:p>
    <w:p>
      <w:pPr>
        <w:spacing w:before="157" w:line="364" w:lineRule="auto"/>
        <w:ind w:left="100" w:right="314" w:firstLine="480"/>
        <w:rPr>
          <w:color w:val="auto"/>
          <w:sz w:val="18"/>
        </w:rPr>
      </w:pPr>
      <w:r>
        <w:rPr>
          <w:color w:val="auto"/>
          <w:spacing w:val="-3"/>
          <w:sz w:val="18"/>
        </w:rPr>
        <w:t xml:space="preserve">企业不良行为记录扣分有效期为 </w:t>
      </w:r>
      <w:r>
        <w:rPr>
          <w:color w:val="auto"/>
          <w:sz w:val="18"/>
        </w:rPr>
        <w:t>180</w:t>
      </w:r>
      <w:r>
        <w:rPr>
          <w:color w:val="auto"/>
          <w:spacing w:val="-8"/>
          <w:sz w:val="18"/>
        </w:rPr>
        <w:t xml:space="preserve"> 天，拟任项目经理不良行为记录扣分有效期为 </w:t>
      </w:r>
      <w:r>
        <w:rPr>
          <w:color w:val="auto"/>
          <w:sz w:val="18"/>
        </w:rPr>
        <w:t>720</w:t>
      </w:r>
      <w:r>
        <w:rPr>
          <w:color w:val="auto"/>
          <w:spacing w:val="-14"/>
          <w:sz w:val="18"/>
        </w:rPr>
        <w:t xml:space="preserve"> 天。</w:t>
      </w:r>
      <w:r>
        <w:rPr>
          <w:color w:val="auto"/>
          <w:sz w:val="18"/>
        </w:rPr>
        <w:t>（</w:t>
      </w:r>
      <w:r>
        <w:rPr>
          <w:color w:val="auto"/>
          <w:spacing w:val="-2"/>
          <w:sz w:val="18"/>
        </w:rPr>
        <w:t>在本省行政区域内发生不</w:t>
      </w:r>
      <w:r>
        <w:rPr>
          <w:color w:val="auto"/>
          <w:sz w:val="18"/>
        </w:rPr>
        <w:t xml:space="preserve">良行为的，以资格审查或开标时省住房和城乡建设厅已发的文件为准，自公布之日起计算. </w:t>
      </w:r>
    </w:p>
    <w:p>
      <w:pPr>
        <w:spacing w:line="364" w:lineRule="auto"/>
        <w:ind w:left="100" w:right="317" w:firstLine="480"/>
        <w:rPr>
          <w:color w:val="auto"/>
          <w:sz w:val="18"/>
        </w:rPr>
      </w:pPr>
      <w:r>
        <w:rPr>
          <w:color w:val="auto"/>
          <w:sz w:val="18"/>
        </w:rPr>
        <w:t xml:space="preserve">省外企业应当在投标文件中如实反映和提供企业及其拟任项目经理有效期限内符合上述规定的不良行为记录，并附企业注册所在地省级建设行政主管部门的证明文件或相关官方网站下载资料。扣分期限内的不良行为记录情况 </w:t>
      </w:r>
    </w:p>
    <w:p>
      <w:pPr>
        <w:spacing w:line="230" w:lineRule="exact"/>
        <w:ind w:left="580"/>
        <w:rPr>
          <w:color w:val="auto"/>
          <w:sz w:val="18"/>
        </w:rPr>
      </w:pPr>
      <w:r>
        <w:rPr>
          <w:color w:val="auto"/>
          <w:sz w:val="18"/>
        </w:rPr>
        <w:t xml:space="preserve">扣分期限内的不良行为记录情况 </w:t>
      </w:r>
    </w:p>
    <w:p>
      <w:pPr>
        <w:pStyle w:val="8"/>
        <w:spacing w:before="6"/>
        <w:rPr>
          <w:color w:val="auto"/>
          <w:sz w:val="9"/>
        </w:rPr>
      </w:pPr>
    </w:p>
    <w:tbl>
      <w:tblPr>
        <w:tblStyle w:val="34"/>
        <w:tblW w:w="8325" w:type="dxa"/>
        <w:tblInd w:w="8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4"/>
        <w:gridCol w:w="2803"/>
        <w:gridCol w:w="2892"/>
        <w:gridCol w:w="18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 w:hRule="atLeast"/>
        </w:trPr>
        <w:tc>
          <w:tcPr>
            <w:tcW w:w="734" w:type="dxa"/>
            <w:tcBorders>
              <w:bottom w:val="single" w:color="000000" w:sz="4" w:space="0"/>
              <w:right w:val="single" w:color="000000" w:sz="4" w:space="0"/>
            </w:tcBorders>
          </w:tcPr>
          <w:p>
            <w:pPr>
              <w:pStyle w:val="45"/>
              <w:spacing w:before="7"/>
              <w:rPr>
                <w:color w:val="auto"/>
                <w:sz w:val="19"/>
              </w:rPr>
            </w:pPr>
          </w:p>
          <w:p>
            <w:pPr>
              <w:pStyle w:val="45"/>
              <w:spacing w:before="1"/>
              <w:ind w:left="209" w:right="105"/>
              <w:jc w:val="center"/>
              <w:rPr>
                <w:color w:val="auto"/>
                <w:sz w:val="18"/>
              </w:rPr>
            </w:pPr>
            <w:r>
              <w:rPr>
                <w:color w:val="auto"/>
                <w:sz w:val="18"/>
              </w:rPr>
              <w:t xml:space="preserve">序号 </w:t>
            </w:r>
          </w:p>
        </w:tc>
        <w:tc>
          <w:tcPr>
            <w:tcW w:w="2803" w:type="dxa"/>
            <w:tcBorders>
              <w:left w:val="single" w:color="000000" w:sz="4" w:space="0"/>
              <w:bottom w:val="single" w:color="000000" w:sz="4" w:space="0"/>
              <w:right w:val="single" w:color="000000" w:sz="4" w:space="0"/>
            </w:tcBorders>
          </w:tcPr>
          <w:p>
            <w:pPr>
              <w:pStyle w:val="45"/>
              <w:spacing w:before="7"/>
              <w:rPr>
                <w:color w:val="auto"/>
                <w:sz w:val="19"/>
              </w:rPr>
            </w:pPr>
          </w:p>
          <w:p>
            <w:pPr>
              <w:pStyle w:val="45"/>
              <w:spacing w:before="1"/>
              <w:ind w:left="1076" w:right="956"/>
              <w:jc w:val="center"/>
              <w:rPr>
                <w:color w:val="auto"/>
                <w:sz w:val="18"/>
              </w:rPr>
            </w:pPr>
            <w:r>
              <w:rPr>
                <w:color w:val="auto"/>
                <w:sz w:val="18"/>
              </w:rPr>
              <w:t xml:space="preserve">发生时间 </w:t>
            </w:r>
          </w:p>
        </w:tc>
        <w:tc>
          <w:tcPr>
            <w:tcW w:w="2892" w:type="dxa"/>
            <w:tcBorders>
              <w:left w:val="single" w:color="000000" w:sz="4" w:space="0"/>
              <w:bottom w:val="single" w:color="000000" w:sz="4" w:space="0"/>
              <w:right w:val="single" w:color="000000" w:sz="4" w:space="0"/>
            </w:tcBorders>
          </w:tcPr>
          <w:p>
            <w:pPr>
              <w:pStyle w:val="45"/>
              <w:spacing w:before="7"/>
              <w:rPr>
                <w:color w:val="auto"/>
                <w:sz w:val="19"/>
              </w:rPr>
            </w:pPr>
          </w:p>
          <w:p>
            <w:pPr>
              <w:pStyle w:val="45"/>
              <w:spacing w:before="1"/>
              <w:ind w:left="942" w:right="819"/>
              <w:jc w:val="center"/>
              <w:rPr>
                <w:color w:val="auto"/>
                <w:sz w:val="18"/>
              </w:rPr>
            </w:pPr>
            <w:r>
              <w:rPr>
                <w:color w:val="auto"/>
                <w:sz w:val="18"/>
              </w:rPr>
              <w:t xml:space="preserve">简要情况说明 </w:t>
            </w:r>
          </w:p>
        </w:tc>
        <w:tc>
          <w:tcPr>
            <w:tcW w:w="1896" w:type="dxa"/>
            <w:tcBorders>
              <w:left w:val="single" w:color="000000" w:sz="4" w:space="0"/>
              <w:bottom w:val="single" w:color="000000" w:sz="4" w:space="0"/>
            </w:tcBorders>
          </w:tcPr>
          <w:p>
            <w:pPr>
              <w:pStyle w:val="45"/>
              <w:spacing w:before="7"/>
              <w:rPr>
                <w:color w:val="auto"/>
                <w:sz w:val="19"/>
              </w:rPr>
            </w:pPr>
          </w:p>
          <w:p>
            <w:pPr>
              <w:pStyle w:val="45"/>
              <w:spacing w:before="1"/>
              <w:ind w:left="441" w:right="314"/>
              <w:jc w:val="center"/>
              <w:rPr>
                <w:color w:val="auto"/>
                <w:sz w:val="18"/>
              </w:rPr>
            </w:pPr>
            <w:r>
              <w:rPr>
                <w:color w:val="auto"/>
                <w:sz w:val="18"/>
              </w:rPr>
              <w:t xml:space="preserve">证明材料索引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734" w:type="dxa"/>
            <w:tcBorders>
              <w:top w:val="single" w:color="000000" w:sz="4" w:space="0"/>
              <w:bottom w:val="single" w:color="000000" w:sz="4" w:space="0"/>
              <w:right w:val="single" w:color="000000" w:sz="4" w:space="0"/>
            </w:tcBorders>
          </w:tcPr>
          <w:p>
            <w:pPr>
              <w:pStyle w:val="45"/>
              <w:spacing w:before="3"/>
              <w:rPr>
                <w:color w:val="auto"/>
                <w:sz w:val="18"/>
              </w:rPr>
            </w:pPr>
          </w:p>
          <w:p>
            <w:pPr>
              <w:pStyle w:val="45"/>
              <w:ind w:left="119"/>
              <w:jc w:val="center"/>
              <w:rPr>
                <w:color w:val="auto"/>
                <w:sz w:val="21"/>
              </w:rPr>
            </w:pPr>
            <w:r>
              <w:rPr>
                <w:color w:val="auto"/>
                <w:sz w:val="21"/>
              </w:rPr>
              <w:t xml:space="preserve"> </w:t>
            </w:r>
          </w:p>
        </w:tc>
        <w:tc>
          <w:tcPr>
            <w:tcW w:w="2803" w:type="dxa"/>
            <w:tcBorders>
              <w:top w:val="single" w:color="000000" w:sz="4" w:space="0"/>
              <w:left w:val="single" w:color="000000" w:sz="4" w:space="0"/>
              <w:bottom w:val="single" w:color="000000" w:sz="4" w:space="0"/>
              <w:right w:val="single" w:color="000000" w:sz="4" w:space="0"/>
            </w:tcBorders>
          </w:tcPr>
          <w:p>
            <w:pPr>
              <w:pStyle w:val="45"/>
              <w:spacing w:before="3"/>
              <w:rPr>
                <w:color w:val="auto"/>
                <w:sz w:val="18"/>
              </w:rPr>
            </w:pPr>
          </w:p>
          <w:p>
            <w:pPr>
              <w:pStyle w:val="45"/>
              <w:ind w:left="136"/>
              <w:jc w:val="center"/>
              <w:rPr>
                <w:color w:val="auto"/>
                <w:sz w:val="21"/>
              </w:rPr>
            </w:pPr>
            <w:r>
              <w:rPr>
                <w:color w:val="auto"/>
                <w:sz w:val="21"/>
              </w:rPr>
              <w:t xml:space="preserve"> </w:t>
            </w:r>
          </w:p>
        </w:tc>
        <w:tc>
          <w:tcPr>
            <w:tcW w:w="2892" w:type="dxa"/>
            <w:tcBorders>
              <w:top w:val="single" w:color="000000" w:sz="4" w:space="0"/>
              <w:left w:val="single" w:color="000000" w:sz="4" w:space="0"/>
              <w:bottom w:val="single" w:color="000000" w:sz="4" w:space="0"/>
              <w:right w:val="single" w:color="000000" w:sz="4" w:space="0"/>
            </w:tcBorders>
          </w:tcPr>
          <w:p>
            <w:pPr>
              <w:pStyle w:val="45"/>
              <w:spacing w:before="3"/>
              <w:rPr>
                <w:color w:val="auto"/>
                <w:sz w:val="18"/>
              </w:rPr>
            </w:pPr>
          </w:p>
          <w:p>
            <w:pPr>
              <w:pStyle w:val="45"/>
              <w:ind w:left="139"/>
              <w:jc w:val="center"/>
              <w:rPr>
                <w:color w:val="auto"/>
                <w:sz w:val="21"/>
              </w:rPr>
            </w:pPr>
            <w:r>
              <w:rPr>
                <w:color w:val="auto"/>
                <w:sz w:val="21"/>
              </w:rPr>
              <w:t xml:space="preserve"> </w:t>
            </w:r>
          </w:p>
        </w:tc>
        <w:tc>
          <w:tcPr>
            <w:tcW w:w="1896" w:type="dxa"/>
            <w:tcBorders>
              <w:top w:val="single" w:color="000000" w:sz="4" w:space="0"/>
              <w:left w:val="single" w:color="000000" w:sz="4" w:space="0"/>
              <w:bottom w:val="single" w:color="000000" w:sz="4" w:space="0"/>
            </w:tcBorders>
          </w:tcPr>
          <w:p>
            <w:pPr>
              <w:pStyle w:val="45"/>
              <w:spacing w:before="3"/>
              <w:rPr>
                <w:color w:val="auto"/>
                <w:sz w:val="18"/>
              </w:rPr>
            </w:pPr>
          </w:p>
          <w:p>
            <w:pPr>
              <w:pStyle w:val="45"/>
              <w:ind w:left="143"/>
              <w:jc w:val="center"/>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8" w:hRule="atLeast"/>
        </w:trPr>
        <w:tc>
          <w:tcPr>
            <w:tcW w:w="734" w:type="dxa"/>
            <w:tcBorders>
              <w:top w:val="single" w:color="000000" w:sz="4" w:space="0"/>
              <w:bottom w:val="single" w:color="000000" w:sz="4" w:space="0"/>
              <w:right w:val="single" w:color="000000" w:sz="4" w:space="0"/>
            </w:tcBorders>
          </w:tcPr>
          <w:p>
            <w:pPr>
              <w:pStyle w:val="45"/>
              <w:spacing w:before="3"/>
              <w:rPr>
                <w:color w:val="auto"/>
                <w:sz w:val="18"/>
              </w:rPr>
            </w:pPr>
          </w:p>
          <w:p>
            <w:pPr>
              <w:pStyle w:val="45"/>
              <w:ind w:left="119"/>
              <w:jc w:val="center"/>
              <w:rPr>
                <w:color w:val="auto"/>
                <w:sz w:val="21"/>
              </w:rPr>
            </w:pPr>
            <w:r>
              <w:rPr>
                <w:color w:val="auto"/>
                <w:sz w:val="21"/>
              </w:rPr>
              <w:t xml:space="preserve"> </w:t>
            </w:r>
          </w:p>
        </w:tc>
        <w:tc>
          <w:tcPr>
            <w:tcW w:w="2803" w:type="dxa"/>
            <w:tcBorders>
              <w:top w:val="single" w:color="000000" w:sz="4" w:space="0"/>
              <w:left w:val="single" w:color="000000" w:sz="4" w:space="0"/>
              <w:bottom w:val="single" w:color="000000" w:sz="4" w:space="0"/>
              <w:right w:val="single" w:color="000000" w:sz="4" w:space="0"/>
            </w:tcBorders>
          </w:tcPr>
          <w:p>
            <w:pPr>
              <w:pStyle w:val="45"/>
              <w:spacing w:before="3"/>
              <w:rPr>
                <w:color w:val="auto"/>
                <w:sz w:val="18"/>
              </w:rPr>
            </w:pPr>
          </w:p>
          <w:p>
            <w:pPr>
              <w:pStyle w:val="45"/>
              <w:ind w:left="136"/>
              <w:jc w:val="center"/>
              <w:rPr>
                <w:color w:val="auto"/>
                <w:sz w:val="21"/>
              </w:rPr>
            </w:pPr>
            <w:r>
              <w:rPr>
                <w:color w:val="auto"/>
                <w:sz w:val="21"/>
              </w:rPr>
              <w:t xml:space="preserve"> </w:t>
            </w:r>
          </w:p>
        </w:tc>
        <w:tc>
          <w:tcPr>
            <w:tcW w:w="2892" w:type="dxa"/>
            <w:tcBorders>
              <w:top w:val="single" w:color="000000" w:sz="4" w:space="0"/>
              <w:left w:val="single" w:color="000000" w:sz="4" w:space="0"/>
              <w:bottom w:val="single" w:color="000000" w:sz="4" w:space="0"/>
              <w:right w:val="single" w:color="000000" w:sz="4" w:space="0"/>
            </w:tcBorders>
          </w:tcPr>
          <w:p>
            <w:pPr>
              <w:pStyle w:val="45"/>
              <w:spacing w:before="3"/>
              <w:rPr>
                <w:color w:val="auto"/>
                <w:sz w:val="18"/>
              </w:rPr>
            </w:pPr>
          </w:p>
          <w:p>
            <w:pPr>
              <w:pStyle w:val="45"/>
              <w:ind w:left="139"/>
              <w:jc w:val="center"/>
              <w:rPr>
                <w:color w:val="auto"/>
                <w:sz w:val="21"/>
              </w:rPr>
            </w:pPr>
            <w:r>
              <w:rPr>
                <w:color w:val="auto"/>
                <w:sz w:val="21"/>
              </w:rPr>
              <w:t xml:space="preserve"> </w:t>
            </w:r>
          </w:p>
        </w:tc>
        <w:tc>
          <w:tcPr>
            <w:tcW w:w="1896" w:type="dxa"/>
            <w:tcBorders>
              <w:top w:val="single" w:color="000000" w:sz="4" w:space="0"/>
              <w:left w:val="single" w:color="000000" w:sz="4" w:space="0"/>
              <w:bottom w:val="single" w:color="000000" w:sz="4" w:space="0"/>
            </w:tcBorders>
          </w:tcPr>
          <w:p>
            <w:pPr>
              <w:pStyle w:val="45"/>
              <w:spacing w:before="3"/>
              <w:rPr>
                <w:color w:val="auto"/>
                <w:sz w:val="18"/>
              </w:rPr>
            </w:pPr>
          </w:p>
          <w:p>
            <w:pPr>
              <w:pStyle w:val="45"/>
              <w:ind w:left="143"/>
              <w:jc w:val="center"/>
              <w:rPr>
                <w:color w:val="auto"/>
                <w:sz w:val="21"/>
              </w:rPr>
            </w:pPr>
            <w:r>
              <w:rPr>
                <w:color w:val="auto"/>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734" w:type="dxa"/>
            <w:tcBorders>
              <w:top w:val="single" w:color="000000" w:sz="4" w:space="0"/>
              <w:right w:val="single" w:color="000000" w:sz="4" w:space="0"/>
            </w:tcBorders>
          </w:tcPr>
          <w:p>
            <w:pPr>
              <w:pStyle w:val="45"/>
              <w:spacing w:before="3"/>
              <w:rPr>
                <w:color w:val="auto"/>
                <w:sz w:val="18"/>
              </w:rPr>
            </w:pPr>
          </w:p>
          <w:p>
            <w:pPr>
              <w:pStyle w:val="45"/>
              <w:ind w:left="119"/>
              <w:jc w:val="center"/>
              <w:rPr>
                <w:color w:val="auto"/>
                <w:sz w:val="21"/>
              </w:rPr>
            </w:pPr>
            <w:r>
              <w:rPr>
                <w:color w:val="auto"/>
                <w:sz w:val="21"/>
              </w:rPr>
              <w:t xml:space="preserve"> </w:t>
            </w:r>
          </w:p>
        </w:tc>
        <w:tc>
          <w:tcPr>
            <w:tcW w:w="2803" w:type="dxa"/>
            <w:tcBorders>
              <w:top w:val="single" w:color="000000" w:sz="4" w:space="0"/>
              <w:left w:val="single" w:color="000000" w:sz="4" w:space="0"/>
              <w:right w:val="single" w:color="000000" w:sz="4" w:space="0"/>
            </w:tcBorders>
          </w:tcPr>
          <w:p>
            <w:pPr>
              <w:pStyle w:val="45"/>
              <w:spacing w:before="3"/>
              <w:rPr>
                <w:color w:val="auto"/>
                <w:sz w:val="18"/>
              </w:rPr>
            </w:pPr>
          </w:p>
          <w:p>
            <w:pPr>
              <w:pStyle w:val="45"/>
              <w:ind w:left="136"/>
              <w:jc w:val="center"/>
              <w:rPr>
                <w:color w:val="auto"/>
                <w:sz w:val="21"/>
              </w:rPr>
            </w:pPr>
            <w:r>
              <w:rPr>
                <w:color w:val="auto"/>
                <w:sz w:val="21"/>
              </w:rPr>
              <w:t xml:space="preserve"> </w:t>
            </w:r>
          </w:p>
        </w:tc>
        <w:tc>
          <w:tcPr>
            <w:tcW w:w="2892" w:type="dxa"/>
            <w:tcBorders>
              <w:top w:val="single" w:color="000000" w:sz="4" w:space="0"/>
              <w:left w:val="single" w:color="000000" w:sz="4" w:space="0"/>
              <w:right w:val="single" w:color="000000" w:sz="4" w:space="0"/>
            </w:tcBorders>
          </w:tcPr>
          <w:p>
            <w:pPr>
              <w:pStyle w:val="45"/>
              <w:spacing w:before="3"/>
              <w:rPr>
                <w:color w:val="auto"/>
                <w:sz w:val="18"/>
              </w:rPr>
            </w:pPr>
          </w:p>
          <w:p>
            <w:pPr>
              <w:pStyle w:val="45"/>
              <w:ind w:left="139"/>
              <w:jc w:val="center"/>
              <w:rPr>
                <w:color w:val="auto"/>
                <w:sz w:val="21"/>
              </w:rPr>
            </w:pPr>
            <w:r>
              <w:rPr>
                <w:color w:val="auto"/>
                <w:sz w:val="21"/>
              </w:rPr>
              <w:t xml:space="preserve"> </w:t>
            </w:r>
          </w:p>
        </w:tc>
        <w:tc>
          <w:tcPr>
            <w:tcW w:w="1896" w:type="dxa"/>
            <w:tcBorders>
              <w:top w:val="single" w:color="000000" w:sz="4" w:space="0"/>
              <w:left w:val="single" w:color="000000" w:sz="4" w:space="0"/>
            </w:tcBorders>
          </w:tcPr>
          <w:p>
            <w:pPr>
              <w:pStyle w:val="45"/>
              <w:spacing w:before="3"/>
              <w:rPr>
                <w:color w:val="auto"/>
                <w:sz w:val="18"/>
              </w:rPr>
            </w:pPr>
          </w:p>
          <w:p>
            <w:pPr>
              <w:pStyle w:val="45"/>
              <w:ind w:left="143"/>
              <w:jc w:val="center"/>
              <w:rPr>
                <w:color w:val="auto"/>
                <w:sz w:val="21"/>
              </w:rPr>
            </w:pPr>
            <w:r>
              <w:rPr>
                <w:color w:val="auto"/>
                <w:sz w:val="21"/>
              </w:rPr>
              <w:t xml:space="preserve"> </w:t>
            </w:r>
          </w:p>
        </w:tc>
      </w:tr>
    </w:tbl>
    <w:p>
      <w:pPr>
        <w:spacing w:before="2"/>
        <w:ind w:left="520"/>
        <w:rPr>
          <w:color w:val="auto"/>
          <w:sz w:val="18"/>
        </w:rPr>
      </w:pPr>
      <w:r>
        <w:rPr>
          <w:color w:val="auto"/>
          <w:sz w:val="18"/>
        </w:rPr>
        <w:t xml:space="preserve"> </w:t>
      </w:r>
    </w:p>
    <w:p>
      <w:pPr>
        <w:pStyle w:val="8"/>
        <w:spacing w:before="11"/>
        <w:rPr>
          <w:b/>
          <w:color w:val="auto"/>
          <w:sz w:val="18"/>
        </w:rPr>
      </w:pPr>
      <w:r>
        <w:rPr>
          <w:color w:val="auto"/>
          <w:sz w:val="18"/>
        </w:rPr>
        <w:t>注：如为联合体投标，需提供联合体各方的。</w:t>
      </w:r>
    </w:p>
    <w:p>
      <w:pPr>
        <w:rPr>
          <w:color w:val="auto"/>
          <w:sz w:val="28"/>
        </w:rPr>
        <w:sectPr>
          <w:pgSz w:w="11910" w:h="16850"/>
          <w:pgMar w:top="1600" w:right="700" w:bottom="1040" w:left="920" w:header="0" w:footer="853" w:gutter="0"/>
          <w:cols w:space="720" w:num="1"/>
        </w:sectPr>
      </w:pPr>
      <w:bookmarkStart w:id="339" w:name="（十一）企业及拟任项目经理的不良行为记录发生情况"/>
      <w:bookmarkEnd w:id="339"/>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spacing w:before="230"/>
        <w:ind w:left="10" w:right="223"/>
        <w:jc w:val="center"/>
        <w:rPr>
          <w:b/>
          <w:color w:val="auto"/>
          <w:sz w:val="32"/>
        </w:rPr>
      </w:pPr>
      <w:bookmarkStart w:id="340" w:name="六、其他资料"/>
      <w:bookmarkEnd w:id="340"/>
      <w:r>
        <w:rPr>
          <w:b/>
          <w:color w:val="auto"/>
          <w:sz w:val="32"/>
        </w:rPr>
        <w:t>六、其他资料</w:t>
      </w:r>
    </w:p>
    <w:p>
      <w:pPr>
        <w:jc w:val="center"/>
        <w:rPr>
          <w:color w:val="auto"/>
          <w:sz w:val="32"/>
        </w:rPr>
        <w:sectPr>
          <w:footerReference r:id="rId36" w:type="default"/>
          <w:pgSz w:w="11910" w:h="16850"/>
          <w:pgMar w:top="1600" w:right="700" w:bottom="1040" w:left="920" w:header="0" w:footer="853" w:gutter="0"/>
          <w:cols w:space="720" w:num="1"/>
        </w:sect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spacing w:before="5"/>
        <w:rPr>
          <w:b/>
          <w:color w:val="auto"/>
          <w:sz w:val="28"/>
        </w:rPr>
      </w:pPr>
    </w:p>
    <w:p>
      <w:pPr>
        <w:spacing w:before="54"/>
        <w:ind w:right="58"/>
        <w:jc w:val="center"/>
        <w:rPr>
          <w:color w:val="auto"/>
          <w:sz w:val="32"/>
        </w:rPr>
      </w:pPr>
      <w:r>
        <w:rPr>
          <w:color w:val="auto"/>
          <w:w w:val="99"/>
          <w:sz w:val="32"/>
          <w:u w:val="single"/>
        </w:rPr>
        <w:t xml:space="preserve">                                         </w:t>
      </w:r>
      <w:r>
        <w:rPr>
          <w:color w:val="auto"/>
          <w:sz w:val="32"/>
        </w:rPr>
        <w:t xml:space="preserve">项目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
        <w:rPr>
          <w:color w:val="auto"/>
          <w:sz w:val="14"/>
        </w:rPr>
      </w:pPr>
    </w:p>
    <w:p>
      <w:pPr>
        <w:spacing w:line="1059" w:lineRule="exact"/>
        <w:ind w:left="165" w:right="223"/>
        <w:jc w:val="center"/>
        <w:rPr>
          <w:color w:val="auto"/>
          <w:sz w:val="32"/>
        </w:rPr>
      </w:pPr>
      <w:r>
        <w:rPr>
          <w:color w:val="auto"/>
          <w:sz w:val="84"/>
        </w:rPr>
        <w:t>投 标 文 件</w:t>
      </w:r>
      <w:r>
        <w:rPr>
          <w:color w:val="auto"/>
          <w:w w:val="99"/>
          <w:sz w:val="32"/>
        </w:rPr>
        <w:t xml:space="preserve"> </w:t>
      </w:r>
    </w:p>
    <w:p>
      <w:pPr>
        <w:spacing w:before="293"/>
        <w:ind w:left="165" w:right="223"/>
        <w:jc w:val="center"/>
        <w:rPr>
          <w:color w:val="auto"/>
          <w:sz w:val="32"/>
        </w:rPr>
      </w:pPr>
      <w:r>
        <w:rPr>
          <w:color w:val="auto"/>
          <w:sz w:val="32"/>
        </w:rPr>
        <w:t xml:space="preserve">（商务部分）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1"/>
        <w:rPr>
          <w:color w:val="auto"/>
          <w:sz w:val="16"/>
        </w:rPr>
      </w:pPr>
    </w:p>
    <w:p>
      <w:pPr>
        <w:spacing w:before="55"/>
        <w:ind w:left="794"/>
        <w:rPr>
          <w:color w:val="auto"/>
          <w:sz w:val="32"/>
        </w:rPr>
      </w:pPr>
      <w:r>
        <w:rPr>
          <w:color w:val="auto"/>
          <w:sz w:val="32"/>
        </w:rPr>
        <w:t>投 标 人：</w:t>
      </w:r>
      <w:r>
        <w:rPr>
          <w:color w:val="auto"/>
          <w:spacing w:val="147"/>
          <w:sz w:val="32"/>
          <w:u w:val="single"/>
        </w:rPr>
        <w:t xml:space="preserve"> </w:t>
      </w:r>
      <w:r>
        <w:rPr>
          <w:color w:val="auto"/>
          <w:sz w:val="32"/>
          <w:u w:val="single"/>
        </w:rPr>
        <w:t>（全称）</w:t>
      </w:r>
      <w:r>
        <w:rPr>
          <w:color w:val="auto"/>
          <w:spacing w:val="154"/>
          <w:sz w:val="32"/>
          <w:u w:val="single"/>
        </w:rPr>
        <w:t xml:space="preserve"> </w:t>
      </w:r>
      <w:r>
        <w:rPr>
          <w:color w:val="auto"/>
          <w:sz w:val="32"/>
        </w:rPr>
        <w:t>（盖单位公章</w:t>
      </w:r>
      <w:r>
        <w:rPr>
          <w:color w:val="auto"/>
          <w:spacing w:val="3"/>
          <w:sz w:val="32"/>
        </w:rPr>
        <w:t>）</w:t>
      </w:r>
      <w:r>
        <w:rPr>
          <w:color w:val="auto"/>
          <w:sz w:val="32"/>
        </w:rPr>
        <w:t xml:space="preserve"> </w:t>
      </w:r>
    </w:p>
    <w:p>
      <w:pPr>
        <w:pStyle w:val="8"/>
        <w:spacing w:before="7"/>
        <w:rPr>
          <w:color w:val="auto"/>
          <w:sz w:val="28"/>
        </w:rPr>
      </w:pPr>
    </w:p>
    <w:p>
      <w:pPr>
        <w:spacing w:before="54"/>
        <w:ind w:left="633"/>
        <w:rPr>
          <w:color w:val="auto"/>
          <w:sz w:val="32"/>
        </w:rPr>
      </w:pPr>
      <w:r>
        <w:rPr>
          <w:color w:val="auto"/>
          <w:sz w:val="32"/>
        </w:rPr>
        <w:t>法定代表人或其委托代理人：</w:t>
      </w:r>
      <w:r>
        <w:rPr>
          <w:color w:val="auto"/>
          <w:spacing w:val="146"/>
          <w:sz w:val="32"/>
          <w:u w:val="single"/>
        </w:rPr>
        <w:t xml:space="preserve"> </w:t>
      </w:r>
      <w:r>
        <w:rPr>
          <w:color w:val="auto"/>
          <w:spacing w:val="-3"/>
          <w:sz w:val="32"/>
        </w:rPr>
        <w:t>（</w:t>
      </w:r>
      <w:r>
        <w:rPr>
          <w:color w:val="auto"/>
          <w:sz w:val="32"/>
        </w:rPr>
        <w:t>签字或盖章</w:t>
      </w:r>
      <w:r>
        <w:rPr>
          <w:color w:val="auto"/>
          <w:spacing w:val="3"/>
          <w:sz w:val="32"/>
        </w:rPr>
        <w:t>）</w:t>
      </w:r>
      <w:r>
        <w:rPr>
          <w:color w:val="auto"/>
          <w:sz w:val="32"/>
        </w:rPr>
        <w:t xml:space="preserve"> </w:t>
      </w:r>
    </w:p>
    <w:p>
      <w:pPr>
        <w:pStyle w:val="8"/>
        <w:spacing w:before="5"/>
        <w:rPr>
          <w:color w:val="auto"/>
          <w:sz w:val="28"/>
        </w:rPr>
      </w:pPr>
    </w:p>
    <w:p>
      <w:pPr>
        <w:spacing w:before="54"/>
        <w:ind w:right="56"/>
        <w:jc w:val="center"/>
        <w:rPr>
          <w:color w:val="auto"/>
          <w:sz w:val="32"/>
        </w:rPr>
      </w:pPr>
      <w:r>
        <w:rPr>
          <w:color w:val="auto"/>
          <w:w w:val="99"/>
          <w:sz w:val="32"/>
          <w:u w:val="single"/>
        </w:rPr>
        <w:t xml:space="preserve">       </w:t>
      </w:r>
      <w:r>
        <w:rPr>
          <w:color w:val="auto"/>
          <w:sz w:val="32"/>
        </w:rPr>
        <w:t>年</w:t>
      </w:r>
      <w:r>
        <w:rPr>
          <w:color w:val="auto"/>
          <w:sz w:val="32"/>
          <w:u w:val="single"/>
        </w:rPr>
        <w:t xml:space="preserve">     </w:t>
      </w:r>
      <w:r>
        <w:rPr>
          <w:color w:val="auto"/>
          <w:sz w:val="32"/>
        </w:rPr>
        <w:t>月</w:t>
      </w:r>
      <w:r>
        <w:rPr>
          <w:color w:val="auto"/>
          <w:sz w:val="32"/>
          <w:u w:val="single"/>
        </w:rPr>
        <w:t xml:space="preserve">    </w:t>
      </w:r>
      <w:r>
        <w:rPr>
          <w:color w:val="auto"/>
          <w:sz w:val="32"/>
        </w:rPr>
        <w:t xml:space="preserve">日 </w:t>
      </w:r>
    </w:p>
    <w:p>
      <w:pPr>
        <w:jc w:val="center"/>
        <w:rPr>
          <w:color w:val="auto"/>
          <w:sz w:val="32"/>
        </w:rPr>
        <w:sectPr>
          <w:pgSz w:w="11910" w:h="16850"/>
          <w:pgMar w:top="1600" w:right="700" w:bottom="1040" w:left="920" w:header="0" w:footer="853" w:gutter="0"/>
          <w:cols w:space="720" w:num="1"/>
        </w:sectPr>
      </w:pPr>
    </w:p>
    <w:p>
      <w:pPr>
        <w:spacing w:before="43"/>
        <w:ind w:left="10" w:right="223"/>
        <w:jc w:val="center"/>
        <w:rPr>
          <w:b/>
          <w:color w:val="auto"/>
          <w:sz w:val="32"/>
        </w:rPr>
      </w:pPr>
      <w:r>
        <w:rPr>
          <w:b/>
          <w:color w:val="auto"/>
          <w:sz w:val="32"/>
        </w:rPr>
        <w:t>一、投标报价书</w:t>
      </w:r>
    </w:p>
    <w:p>
      <w:pPr>
        <w:pStyle w:val="8"/>
        <w:spacing w:before="11"/>
        <w:rPr>
          <w:b/>
          <w:color w:val="auto"/>
          <w:sz w:val="32"/>
        </w:rPr>
      </w:pPr>
    </w:p>
    <w:p>
      <w:pPr>
        <w:pStyle w:val="55"/>
        <w:spacing w:line="364" w:lineRule="auto"/>
        <w:ind w:left="100" w:right="313" w:firstLine="482"/>
        <w:jc w:val="both"/>
        <w:rPr>
          <w:b w:val="0"/>
          <w:color w:val="auto"/>
        </w:rPr>
      </w:pPr>
      <w:r>
        <w:rPr>
          <w:color w:val="auto"/>
        </w:rPr>
        <w:t>主要包括以下内容：</w:t>
      </w:r>
      <w:r>
        <w:rPr>
          <w:b w:val="0"/>
          <w:color w:val="auto"/>
        </w:rPr>
        <w:t xml:space="preserve"> </w:t>
      </w:r>
    </w:p>
    <w:p>
      <w:pPr>
        <w:pStyle w:val="44"/>
        <w:numPr>
          <w:ilvl w:val="0"/>
          <w:numId w:val="95"/>
        </w:numPr>
        <w:tabs>
          <w:tab w:val="left" w:pos="1050"/>
        </w:tabs>
        <w:spacing w:line="268" w:lineRule="exact"/>
        <w:ind w:hanging="530"/>
        <w:rPr>
          <w:color w:val="auto"/>
          <w:sz w:val="21"/>
        </w:rPr>
      </w:pPr>
      <w:r>
        <w:rPr>
          <w:color w:val="auto"/>
          <w:spacing w:val="-3"/>
          <w:sz w:val="21"/>
        </w:rPr>
        <w:t>投标总价</w:t>
      </w:r>
      <w:r>
        <w:rPr>
          <w:color w:val="auto"/>
          <w:sz w:val="21"/>
        </w:rPr>
        <w:t>（</w:t>
      </w:r>
      <w:r>
        <w:rPr>
          <w:color w:val="auto"/>
          <w:spacing w:val="-3"/>
          <w:sz w:val="21"/>
        </w:rPr>
        <w:t>包括本项目建安工程、勘测设计费</w:t>
      </w:r>
      <w:r>
        <w:rPr>
          <w:color w:val="auto"/>
          <w:sz w:val="21"/>
        </w:rPr>
        <w:t>）</w:t>
      </w:r>
      <w:r>
        <w:rPr>
          <w:color w:val="auto"/>
          <w:spacing w:val="-3"/>
          <w:sz w:val="21"/>
        </w:rPr>
        <w:t>封面；</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投标总价扉页</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工程计价总说明</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建设项目</w:t>
      </w:r>
      <w:r>
        <w:rPr>
          <w:color w:val="auto"/>
          <w:sz w:val="21"/>
        </w:rPr>
        <w:t>（</w:t>
      </w:r>
      <w:r>
        <w:rPr>
          <w:color w:val="auto"/>
          <w:spacing w:val="-3"/>
          <w:sz w:val="21"/>
        </w:rPr>
        <w:t>单项工程</w:t>
      </w:r>
      <w:r>
        <w:rPr>
          <w:color w:val="auto"/>
          <w:sz w:val="21"/>
        </w:rPr>
        <w:t>）</w:t>
      </w:r>
      <w:r>
        <w:rPr>
          <w:color w:val="auto"/>
          <w:spacing w:val="-3"/>
          <w:sz w:val="21"/>
        </w:rPr>
        <w:t>工程造价汇总表</w:t>
      </w:r>
      <w:r>
        <w:rPr>
          <w:color w:val="auto"/>
          <w:sz w:val="21"/>
        </w:rPr>
        <w:t xml:space="preserve"> </w:t>
      </w:r>
    </w:p>
    <w:p>
      <w:pPr>
        <w:pStyle w:val="44"/>
        <w:numPr>
          <w:ilvl w:val="0"/>
          <w:numId w:val="95"/>
        </w:numPr>
        <w:tabs>
          <w:tab w:val="left" w:pos="1050"/>
        </w:tabs>
        <w:spacing w:before="141"/>
        <w:ind w:hanging="530"/>
        <w:rPr>
          <w:color w:val="auto"/>
          <w:sz w:val="21"/>
        </w:rPr>
      </w:pPr>
      <w:r>
        <w:rPr>
          <w:color w:val="auto"/>
          <w:spacing w:val="-3"/>
          <w:sz w:val="21"/>
        </w:rPr>
        <w:t>单位工程费用计算表</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单位工程工程量清单与造价表</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清单项目直接费用预算表</w:t>
      </w:r>
      <w:r>
        <w:rPr>
          <w:color w:val="auto"/>
          <w:sz w:val="21"/>
        </w:rPr>
        <w:t xml:space="preserve"> </w:t>
      </w:r>
    </w:p>
    <w:p>
      <w:pPr>
        <w:pStyle w:val="44"/>
        <w:numPr>
          <w:ilvl w:val="0"/>
          <w:numId w:val="95"/>
        </w:numPr>
        <w:tabs>
          <w:tab w:val="left" w:pos="1050"/>
        </w:tabs>
        <w:spacing w:before="139"/>
        <w:ind w:hanging="530"/>
        <w:rPr>
          <w:color w:val="auto"/>
          <w:sz w:val="21"/>
        </w:rPr>
      </w:pPr>
      <w:r>
        <w:rPr>
          <w:color w:val="auto"/>
          <w:spacing w:val="-3"/>
          <w:sz w:val="21"/>
        </w:rPr>
        <w:t>清单项目人材机用量与单价表</w:t>
      </w:r>
      <w:r>
        <w:rPr>
          <w:color w:val="auto"/>
          <w:sz w:val="21"/>
        </w:rPr>
        <w:t xml:space="preserve"> </w:t>
      </w:r>
    </w:p>
    <w:p>
      <w:pPr>
        <w:pStyle w:val="44"/>
        <w:numPr>
          <w:ilvl w:val="0"/>
          <w:numId w:val="95"/>
        </w:numPr>
        <w:tabs>
          <w:tab w:val="left" w:pos="1050"/>
        </w:tabs>
        <w:spacing w:before="142"/>
        <w:ind w:hanging="530"/>
        <w:rPr>
          <w:color w:val="auto"/>
          <w:sz w:val="21"/>
        </w:rPr>
      </w:pPr>
      <w:r>
        <w:rPr>
          <w:color w:val="auto"/>
          <w:spacing w:val="-3"/>
          <w:sz w:val="21"/>
        </w:rPr>
        <w:t>清单项目费用计算表</w:t>
      </w:r>
      <w:r>
        <w:rPr>
          <w:color w:val="auto"/>
          <w:sz w:val="21"/>
        </w:rPr>
        <w:t>（</w:t>
      </w:r>
      <w:r>
        <w:rPr>
          <w:color w:val="auto"/>
          <w:spacing w:val="-3"/>
          <w:sz w:val="21"/>
        </w:rPr>
        <w:t>综合单价表）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3"/>
          <w:sz w:val="21"/>
        </w:rPr>
        <w:t xml:space="preserve">总价措施项目清单计费表 </w:t>
      </w:r>
    </w:p>
    <w:p>
      <w:pPr>
        <w:pStyle w:val="44"/>
        <w:numPr>
          <w:ilvl w:val="0"/>
          <w:numId w:val="95"/>
        </w:numPr>
        <w:tabs>
          <w:tab w:val="left" w:pos="1156"/>
        </w:tabs>
        <w:spacing w:before="139"/>
        <w:ind w:left="1155" w:hanging="636"/>
        <w:rPr>
          <w:color w:val="auto"/>
          <w:sz w:val="21"/>
        </w:rPr>
      </w:pPr>
      <w:r>
        <w:rPr>
          <w:color w:val="auto"/>
          <w:spacing w:val="-3"/>
          <w:sz w:val="21"/>
        </w:rPr>
        <w:t>其他项目清单与计价汇总表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3"/>
          <w:sz w:val="21"/>
        </w:rPr>
        <w:t>暂列金额明细表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2"/>
          <w:sz w:val="21"/>
        </w:rPr>
        <w:t>材料</w:t>
      </w:r>
      <w:r>
        <w:rPr>
          <w:color w:val="auto"/>
          <w:sz w:val="21"/>
        </w:rPr>
        <w:t>（</w:t>
      </w:r>
      <w:r>
        <w:rPr>
          <w:color w:val="auto"/>
          <w:spacing w:val="-3"/>
          <w:sz w:val="21"/>
        </w:rPr>
        <w:t>工程设备）暂估单价及调整表</w:t>
      </w:r>
      <w:r>
        <w:rPr>
          <w:color w:val="auto"/>
          <w:sz w:val="21"/>
        </w:rPr>
        <w:t xml:space="preserve"> </w:t>
      </w:r>
    </w:p>
    <w:p>
      <w:pPr>
        <w:pStyle w:val="44"/>
        <w:numPr>
          <w:ilvl w:val="0"/>
          <w:numId w:val="95"/>
        </w:numPr>
        <w:tabs>
          <w:tab w:val="left" w:pos="1156"/>
        </w:tabs>
        <w:spacing w:before="141"/>
        <w:ind w:left="1155" w:hanging="636"/>
        <w:rPr>
          <w:color w:val="auto"/>
          <w:sz w:val="21"/>
        </w:rPr>
      </w:pPr>
      <w:r>
        <w:rPr>
          <w:color w:val="auto"/>
          <w:spacing w:val="-3"/>
          <w:sz w:val="21"/>
        </w:rPr>
        <w:t>专业工程暂估价及结算价表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3"/>
          <w:sz w:val="21"/>
        </w:rPr>
        <w:t>计日工表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3"/>
          <w:sz w:val="21"/>
        </w:rPr>
        <w:t xml:space="preserve">总承包服务费计价表 </w:t>
      </w:r>
    </w:p>
    <w:p>
      <w:pPr>
        <w:pStyle w:val="44"/>
        <w:numPr>
          <w:ilvl w:val="0"/>
          <w:numId w:val="95"/>
        </w:numPr>
        <w:tabs>
          <w:tab w:val="left" w:pos="1156"/>
        </w:tabs>
        <w:spacing w:before="139"/>
        <w:ind w:left="1155" w:hanging="636"/>
        <w:rPr>
          <w:color w:val="auto"/>
          <w:sz w:val="21"/>
        </w:rPr>
      </w:pPr>
      <w:r>
        <w:rPr>
          <w:color w:val="auto"/>
          <w:spacing w:val="-3"/>
          <w:sz w:val="21"/>
        </w:rPr>
        <w:t>发包人提供材料与工程设备一览表</w:t>
      </w:r>
      <w:r>
        <w:rPr>
          <w:color w:val="auto"/>
          <w:sz w:val="21"/>
        </w:rPr>
        <w:t xml:space="preserve"> </w:t>
      </w:r>
    </w:p>
    <w:p>
      <w:pPr>
        <w:pStyle w:val="44"/>
        <w:numPr>
          <w:ilvl w:val="0"/>
          <w:numId w:val="95"/>
        </w:numPr>
        <w:tabs>
          <w:tab w:val="left" w:pos="1156"/>
        </w:tabs>
        <w:spacing w:before="139"/>
        <w:ind w:left="1155" w:hanging="636"/>
        <w:rPr>
          <w:color w:val="auto"/>
          <w:sz w:val="21"/>
        </w:rPr>
      </w:pPr>
      <w:r>
        <w:rPr>
          <w:color w:val="auto"/>
          <w:spacing w:val="-3"/>
          <w:sz w:val="21"/>
        </w:rPr>
        <w:t>人工、主要材料（</w:t>
      </w:r>
      <w:r>
        <w:rPr>
          <w:color w:val="auto"/>
          <w:spacing w:val="-1"/>
          <w:sz w:val="21"/>
        </w:rPr>
        <w:t>工程设备</w:t>
      </w:r>
      <w:r>
        <w:rPr>
          <w:color w:val="auto"/>
          <w:spacing w:val="-3"/>
          <w:sz w:val="21"/>
        </w:rPr>
        <w:t>）、机械用量汇总与单价表</w:t>
      </w:r>
      <w:r>
        <w:rPr>
          <w:color w:val="auto"/>
          <w:sz w:val="21"/>
        </w:rPr>
        <w:t xml:space="preserve"> </w:t>
      </w:r>
    </w:p>
    <w:p>
      <w:pPr>
        <w:rPr>
          <w:color w:val="auto"/>
        </w:rPr>
      </w:pPr>
    </w:p>
    <w:p>
      <w:pPr>
        <w:rPr>
          <w:color w:val="auto"/>
        </w:rPr>
      </w:pPr>
      <w:r>
        <w:rPr>
          <w:color w:val="auto"/>
        </w:rPr>
        <w:t>说明：以上表格如为空白表格，可不提供，本“投标报价书”纸质文件可以另册装订。</w:t>
      </w:r>
    </w:p>
    <w:p>
      <w:pPr>
        <w:pStyle w:val="8"/>
        <w:spacing w:before="11"/>
        <w:rPr>
          <w:b/>
          <w:color w:val="auto"/>
          <w:sz w:val="32"/>
        </w:rPr>
      </w:pPr>
      <w:r>
        <w:rPr>
          <w:color w:val="auto"/>
        </w:rPr>
        <w:t>表</w:t>
      </w:r>
      <w:r>
        <w:rPr>
          <w:rFonts w:hint="eastAsia"/>
          <w:color w:val="auto"/>
          <w:lang w:eastAsia="zh-CN"/>
        </w:rPr>
        <w:t>（</w:t>
      </w:r>
      <w:r>
        <w:rPr>
          <w:rFonts w:hint="eastAsia"/>
          <w:color w:val="auto"/>
          <w:lang w:val="en-US" w:eastAsia="zh-CN"/>
        </w:rPr>
        <w:t>7</w:t>
      </w:r>
      <w:r>
        <w:rPr>
          <w:rFonts w:hint="eastAsia"/>
          <w:color w:val="auto"/>
          <w:lang w:eastAsia="zh-CN"/>
        </w:rPr>
        <w:t>）</w:t>
      </w:r>
      <w:r>
        <w:rPr>
          <w:color w:val="auto"/>
        </w:rPr>
        <w:t>清单项目直接费用预算表、表（8）清单项目人材机用量与单价表和表（9）清单项目费用计算表（综合单价表）纸质文件可不提供。</w:t>
      </w:r>
    </w:p>
    <w:p>
      <w:pPr>
        <w:rPr>
          <w:color w:val="auto"/>
        </w:rPr>
        <w:sectPr>
          <w:pgSz w:w="11910" w:h="16850"/>
          <w:pgMar w:top="1480" w:right="700" w:bottom="1040" w:left="920" w:header="0" w:footer="853" w:gutter="0"/>
          <w:cols w:space="720" w:num="1"/>
        </w:sect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9"/>
        </w:rPr>
      </w:pPr>
    </w:p>
    <w:p>
      <w:pPr>
        <w:spacing w:before="55"/>
        <w:ind w:right="58"/>
        <w:jc w:val="center"/>
        <w:rPr>
          <w:color w:val="auto"/>
          <w:sz w:val="32"/>
        </w:rPr>
      </w:pPr>
      <w:r>
        <w:rPr>
          <w:color w:val="auto"/>
          <w:w w:val="99"/>
          <w:sz w:val="32"/>
          <w:u w:val="single"/>
        </w:rPr>
        <w:t xml:space="preserve">                                         </w:t>
      </w:r>
      <w:r>
        <w:rPr>
          <w:color w:val="auto"/>
          <w:sz w:val="32"/>
        </w:rPr>
        <w:t xml:space="preserve">项目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3"/>
        <w:rPr>
          <w:color w:val="auto"/>
          <w:sz w:val="14"/>
        </w:rPr>
      </w:pPr>
    </w:p>
    <w:p>
      <w:pPr>
        <w:spacing w:line="1059" w:lineRule="exact"/>
        <w:ind w:left="165" w:right="223"/>
        <w:jc w:val="center"/>
        <w:rPr>
          <w:color w:val="auto"/>
          <w:sz w:val="32"/>
        </w:rPr>
      </w:pPr>
      <w:r>
        <w:rPr>
          <w:color w:val="auto"/>
          <w:sz w:val="84"/>
        </w:rPr>
        <w:t>投 标 文 件</w:t>
      </w:r>
      <w:r>
        <w:rPr>
          <w:color w:val="auto"/>
          <w:w w:val="99"/>
          <w:sz w:val="32"/>
        </w:rPr>
        <w:t xml:space="preserve"> </w:t>
      </w:r>
    </w:p>
    <w:p>
      <w:pPr>
        <w:spacing w:before="291"/>
        <w:ind w:left="165" w:right="223"/>
        <w:jc w:val="center"/>
        <w:rPr>
          <w:color w:val="auto"/>
          <w:sz w:val="32"/>
        </w:rPr>
      </w:pPr>
      <w:r>
        <w:rPr>
          <w:color w:val="auto"/>
          <w:sz w:val="32"/>
        </w:rPr>
        <w:t xml:space="preserve">（技术部分）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1"/>
        <w:rPr>
          <w:color w:val="auto"/>
          <w:sz w:val="16"/>
        </w:rPr>
      </w:pPr>
    </w:p>
    <w:p>
      <w:pPr>
        <w:spacing w:before="54"/>
        <w:ind w:left="794"/>
        <w:rPr>
          <w:color w:val="auto"/>
          <w:sz w:val="32"/>
        </w:rPr>
      </w:pPr>
      <w:r>
        <w:rPr>
          <w:color w:val="auto"/>
          <w:sz w:val="32"/>
        </w:rPr>
        <w:t>投 标 人：</w:t>
      </w:r>
      <w:r>
        <w:rPr>
          <w:color w:val="auto"/>
          <w:spacing w:val="147"/>
          <w:sz w:val="32"/>
          <w:u w:val="single"/>
        </w:rPr>
        <w:t xml:space="preserve"> </w:t>
      </w:r>
      <w:r>
        <w:rPr>
          <w:color w:val="auto"/>
          <w:sz w:val="32"/>
          <w:u w:val="single"/>
        </w:rPr>
        <w:t>（全称）</w:t>
      </w:r>
      <w:r>
        <w:rPr>
          <w:color w:val="auto"/>
          <w:spacing w:val="154"/>
          <w:sz w:val="32"/>
          <w:u w:val="single"/>
        </w:rPr>
        <w:t xml:space="preserve"> </w:t>
      </w:r>
      <w:r>
        <w:rPr>
          <w:color w:val="auto"/>
          <w:sz w:val="32"/>
        </w:rPr>
        <w:t>（盖单位公章</w:t>
      </w:r>
      <w:r>
        <w:rPr>
          <w:color w:val="auto"/>
          <w:spacing w:val="3"/>
          <w:sz w:val="32"/>
        </w:rPr>
        <w:t>）</w:t>
      </w:r>
      <w:r>
        <w:rPr>
          <w:color w:val="auto"/>
          <w:sz w:val="32"/>
        </w:rPr>
        <w:t xml:space="preserve"> </w:t>
      </w:r>
    </w:p>
    <w:p>
      <w:pPr>
        <w:pStyle w:val="8"/>
        <w:spacing w:before="7"/>
        <w:rPr>
          <w:color w:val="auto"/>
          <w:sz w:val="28"/>
        </w:rPr>
      </w:pPr>
    </w:p>
    <w:p>
      <w:pPr>
        <w:spacing w:before="55"/>
        <w:ind w:left="633"/>
        <w:rPr>
          <w:color w:val="auto"/>
          <w:sz w:val="32"/>
        </w:rPr>
      </w:pPr>
      <w:r>
        <w:rPr>
          <w:color w:val="auto"/>
          <w:sz w:val="32"/>
        </w:rPr>
        <w:t>法定代表人或其委托代理人：</w:t>
      </w:r>
      <w:r>
        <w:rPr>
          <w:color w:val="auto"/>
          <w:spacing w:val="146"/>
          <w:sz w:val="32"/>
          <w:u w:val="single"/>
        </w:rPr>
        <w:t xml:space="preserve"> </w:t>
      </w:r>
      <w:r>
        <w:rPr>
          <w:color w:val="auto"/>
          <w:spacing w:val="-3"/>
          <w:sz w:val="32"/>
        </w:rPr>
        <w:t>（</w:t>
      </w:r>
      <w:r>
        <w:rPr>
          <w:color w:val="auto"/>
          <w:sz w:val="32"/>
        </w:rPr>
        <w:t>签字或盖章</w:t>
      </w:r>
      <w:r>
        <w:rPr>
          <w:color w:val="auto"/>
          <w:spacing w:val="3"/>
          <w:sz w:val="32"/>
        </w:rPr>
        <w:t>）</w:t>
      </w:r>
      <w:r>
        <w:rPr>
          <w:color w:val="auto"/>
          <w:sz w:val="32"/>
        </w:rPr>
        <w:t xml:space="preserve"> </w:t>
      </w:r>
    </w:p>
    <w:p>
      <w:pPr>
        <w:pStyle w:val="8"/>
        <w:spacing w:before="7"/>
        <w:rPr>
          <w:color w:val="auto"/>
          <w:sz w:val="28"/>
        </w:rPr>
      </w:pPr>
    </w:p>
    <w:p>
      <w:pPr>
        <w:spacing w:before="54"/>
        <w:ind w:right="56"/>
        <w:jc w:val="center"/>
        <w:rPr>
          <w:color w:val="auto"/>
          <w:sz w:val="32"/>
        </w:rPr>
      </w:pPr>
      <w:r>
        <w:rPr>
          <w:color w:val="auto"/>
          <w:w w:val="99"/>
          <w:sz w:val="32"/>
          <w:u w:val="single"/>
        </w:rPr>
        <w:t xml:space="preserve">       </w:t>
      </w:r>
      <w:r>
        <w:rPr>
          <w:color w:val="auto"/>
          <w:sz w:val="32"/>
        </w:rPr>
        <w:t>年</w:t>
      </w:r>
      <w:r>
        <w:rPr>
          <w:color w:val="auto"/>
          <w:sz w:val="32"/>
          <w:u w:val="single"/>
        </w:rPr>
        <w:t xml:space="preserve">     </w:t>
      </w:r>
      <w:r>
        <w:rPr>
          <w:color w:val="auto"/>
          <w:sz w:val="32"/>
        </w:rPr>
        <w:t>月</w:t>
      </w:r>
      <w:r>
        <w:rPr>
          <w:color w:val="auto"/>
          <w:sz w:val="32"/>
          <w:u w:val="single"/>
        </w:rPr>
        <w:t xml:space="preserve">    </w:t>
      </w:r>
      <w:r>
        <w:rPr>
          <w:color w:val="auto"/>
          <w:sz w:val="32"/>
        </w:rPr>
        <w:t xml:space="preserve">日 </w:t>
      </w:r>
    </w:p>
    <w:p>
      <w:pPr>
        <w:jc w:val="center"/>
        <w:rPr>
          <w:color w:val="auto"/>
          <w:sz w:val="32"/>
        </w:rPr>
        <w:sectPr>
          <w:pgSz w:w="11910" w:h="16850"/>
          <w:pgMar w:top="1480" w:right="700" w:bottom="1040" w:left="920" w:header="0" w:footer="853" w:gutter="0"/>
          <w:cols w:space="720" w:num="1"/>
        </w:sectPr>
      </w:pPr>
    </w:p>
    <w:p>
      <w:pPr>
        <w:pStyle w:val="3"/>
        <w:ind w:right="128"/>
        <w:jc w:val="center"/>
        <w:rPr>
          <w:color w:val="auto"/>
        </w:rPr>
      </w:pPr>
      <w:r>
        <w:rPr>
          <w:color w:val="auto"/>
        </w:rPr>
        <w:t>一、</w:t>
      </w:r>
      <w:r>
        <w:rPr>
          <w:rFonts w:hint="eastAsia"/>
          <w:b/>
          <w:color w:val="auto"/>
          <w:sz w:val="29"/>
        </w:rPr>
        <w:t>承包人工程设计</w:t>
      </w:r>
      <w:r>
        <w:rPr>
          <w:color w:val="auto"/>
          <w:w w:val="99"/>
        </w:rPr>
        <w:t xml:space="preserve"> </w:t>
      </w:r>
    </w:p>
    <w:p>
      <w:pPr>
        <w:pStyle w:val="8"/>
        <w:rPr>
          <w:b/>
          <w:color w:val="auto"/>
          <w:sz w:val="20"/>
        </w:rPr>
      </w:pPr>
    </w:p>
    <w:p>
      <w:pPr>
        <w:pStyle w:val="8"/>
        <w:rPr>
          <w:rFonts w:hint="eastAsia"/>
          <w:b/>
          <w:color w:val="auto"/>
          <w:sz w:val="29"/>
        </w:rPr>
      </w:pPr>
      <w:r>
        <w:rPr>
          <w:rFonts w:hint="eastAsia"/>
          <w:b/>
          <w:color w:val="auto"/>
          <w:sz w:val="29"/>
        </w:rPr>
        <w:t> </w:t>
      </w:r>
    </w:p>
    <w:p>
      <w:pPr>
        <w:pStyle w:val="8"/>
        <w:rPr>
          <w:rFonts w:hint="eastAsia"/>
          <w:b/>
          <w:color w:val="auto"/>
          <w:sz w:val="29"/>
        </w:rPr>
      </w:pPr>
      <w:r>
        <w:rPr>
          <w:rFonts w:hint="eastAsia"/>
          <w:b/>
          <w:color w:val="auto"/>
          <w:sz w:val="29"/>
        </w:rPr>
        <w:t> </w:t>
      </w:r>
    </w:p>
    <w:p>
      <w:pPr>
        <w:pStyle w:val="8"/>
        <w:rPr>
          <w:rFonts w:hint="eastAsia"/>
          <w:b w:val="0"/>
          <w:bCs/>
          <w:color w:val="auto"/>
          <w:sz w:val="24"/>
          <w:szCs w:val="24"/>
        </w:rPr>
      </w:pPr>
      <w:r>
        <w:rPr>
          <w:rFonts w:hint="eastAsia"/>
          <w:b w:val="0"/>
          <w:bCs/>
          <w:color w:val="auto"/>
          <w:sz w:val="24"/>
          <w:szCs w:val="24"/>
        </w:rPr>
        <w:t> </w:t>
      </w:r>
    </w:p>
    <w:p>
      <w:pPr>
        <w:pStyle w:val="8"/>
        <w:rPr>
          <w:rFonts w:hint="eastAsia"/>
          <w:b w:val="0"/>
          <w:bCs/>
          <w:color w:val="auto"/>
          <w:sz w:val="21"/>
          <w:szCs w:val="21"/>
        </w:rPr>
      </w:pPr>
      <w:r>
        <w:rPr>
          <w:rFonts w:hint="eastAsia"/>
          <w:b w:val="0"/>
          <w:bCs/>
          <w:color w:val="auto"/>
          <w:sz w:val="21"/>
          <w:szCs w:val="21"/>
        </w:rPr>
        <w:t> </w:t>
      </w:r>
    </w:p>
    <w:p>
      <w:pPr>
        <w:pStyle w:val="8"/>
        <w:spacing w:line="480" w:lineRule="auto"/>
        <w:rPr>
          <w:rFonts w:hint="eastAsia"/>
          <w:b w:val="0"/>
          <w:bCs/>
          <w:color w:val="auto"/>
          <w:sz w:val="21"/>
          <w:szCs w:val="21"/>
        </w:rPr>
      </w:pPr>
      <w:r>
        <w:rPr>
          <w:rFonts w:hint="eastAsia"/>
          <w:b w:val="0"/>
          <w:bCs/>
          <w:color w:val="auto"/>
          <w:sz w:val="21"/>
          <w:szCs w:val="21"/>
        </w:rPr>
        <w:t xml:space="preserve">承包人建议书应至少包括以下内容（A4）： </w:t>
      </w:r>
    </w:p>
    <w:p>
      <w:pPr>
        <w:pStyle w:val="8"/>
        <w:spacing w:line="480" w:lineRule="auto"/>
        <w:rPr>
          <w:rFonts w:hint="eastAsia"/>
          <w:b w:val="0"/>
          <w:bCs/>
          <w:color w:val="auto"/>
          <w:sz w:val="21"/>
          <w:szCs w:val="21"/>
        </w:rPr>
      </w:pPr>
      <w:r>
        <w:rPr>
          <w:rFonts w:hint="eastAsia"/>
          <w:b w:val="0"/>
          <w:bCs/>
          <w:color w:val="auto"/>
          <w:sz w:val="21"/>
          <w:szCs w:val="21"/>
          <w:lang w:eastAsia="zh-CN"/>
        </w:rPr>
        <w:t>一、</w:t>
      </w:r>
      <w:r>
        <w:rPr>
          <w:rFonts w:hint="eastAsia"/>
          <w:b w:val="0"/>
          <w:bCs/>
          <w:color w:val="auto"/>
          <w:sz w:val="21"/>
          <w:szCs w:val="21"/>
        </w:rPr>
        <w:t xml:space="preserve">设计说明； </w:t>
      </w:r>
    </w:p>
    <w:p>
      <w:pPr>
        <w:pStyle w:val="8"/>
        <w:spacing w:line="480" w:lineRule="auto"/>
        <w:rPr>
          <w:rFonts w:hint="eastAsia"/>
          <w:b w:val="0"/>
          <w:bCs/>
          <w:color w:val="auto"/>
          <w:sz w:val="21"/>
          <w:szCs w:val="21"/>
        </w:rPr>
      </w:pPr>
      <w:r>
        <w:rPr>
          <w:rFonts w:hint="eastAsia"/>
          <w:b w:val="0"/>
          <w:bCs/>
          <w:color w:val="auto"/>
          <w:sz w:val="21"/>
          <w:szCs w:val="21"/>
          <w:lang w:eastAsia="zh-CN"/>
        </w:rPr>
        <w:t>二、</w:t>
      </w:r>
      <w:r>
        <w:rPr>
          <w:rFonts w:hint="eastAsia"/>
          <w:b w:val="0"/>
          <w:bCs/>
          <w:color w:val="auto"/>
          <w:sz w:val="21"/>
          <w:szCs w:val="21"/>
        </w:rPr>
        <w:t xml:space="preserve">设计图纸（设计成果深度达到施工图水平，纸质版可为A4缩印本）； </w:t>
      </w:r>
      <w:bookmarkStart w:id="341" w:name="_GoBack"/>
      <w:bookmarkEnd w:id="341"/>
    </w:p>
    <w:p>
      <w:pPr>
        <w:pStyle w:val="8"/>
        <w:spacing w:line="480" w:lineRule="auto"/>
        <w:rPr>
          <w:rFonts w:hint="eastAsia"/>
          <w:b w:val="0"/>
          <w:bCs/>
          <w:color w:val="auto"/>
          <w:sz w:val="21"/>
          <w:szCs w:val="21"/>
        </w:rPr>
      </w:pPr>
      <w:r>
        <w:rPr>
          <w:rFonts w:hint="eastAsia"/>
          <w:b w:val="0"/>
          <w:bCs/>
          <w:color w:val="auto"/>
          <w:sz w:val="21"/>
          <w:szCs w:val="21"/>
          <w:lang w:eastAsia="zh-CN"/>
        </w:rPr>
        <w:t>三、</w:t>
      </w:r>
      <w:r>
        <w:rPr>
          <w:rFonts w:hint="eastAsia"/>
          <w:b w:val="0"/>
          <w:bCs/>
          <w:color w:val="auto"/>
          <w:sz w:val="21"/>
          <w:szCs w:val="21"/>
        </w:rPr>
        <w:t xml:space="preserve">合理化建议； </w:t>
      </w:r>
    </w:p>
    <w:p>
      <w:pPr>
        <w:pStyle w:val="8"/>
        <w:spacing w:line="480" w:lineRule="auto"/>
        <w:rPr>
          <w:rFonts w:hint="eastAsia" w:eastAsia="宋体"/>
          <w:b w:val="0"/>
          <w:bCs/>
          <w:color w:val="auto"/>
          <w:sz w:val="21"/>
          <w:szCs w:val="21"/>
          <w:lang w:eastAsia="zh-CN"/>
        </w:rPr>
      </w:pPr>
      <w:r>
        <w:rPr>
          <w:rFonts w:hint="eastAsia"/>
          <w:b w:val="0"/>
          <w:bCs/>
          <w:color w:val="auto"/>
          <w:sz w:val="21"/>
          <w:szCs w:val="21"/>
          <w:lang w:eastAsia="zh-CN"/>
        </w:rPr>
        <w:t>四、其他（投标人自拟）；</w:t>
      </w:r>
    </w:p>
    <w:p>
      <w:pPr>
        <w:pStyle w:val="8"/>
        <w:spacing w:line="480" w:lineRule="auto"/>
        <w:rPr>
          <w:b w:val="0"/>
          <w:bCs/>
          <w:color w:val="auto"/>
          <w:sz w:val="21"/>
          <w:szCs w:val="21"/>
        </w:rPr>
      </w:pPr>
      <w:r>
        <w:rPr>
          <w:rFonts w:hint="eastAsia"/>
          <w:b w:val="0"/>
          <w:bCs/>
          <w:color w:val="auto"/>
          <w:sz w:val="21"/>
          <w:szCs w:val="21"/>
        </w:rPr>
        <w:t> </w:t>
      </w:r>
    </w:p>
    <w:p>
      <w:pPr>
        <w:pStyle w:val="8"/>
        <w:spacing w:line="480" w:lineRule="auto"/>
        <w:rPr>
          <w:b/>
          <w:color w:val="auto"/>
          <w:sz w:val="21"/>
          <w:szCs w:val="21"/>
        </w:rPr>
      </w:pPr>
    </w:p>
    <w:p>
      <w:pPr>
        <w:pStyle w:val="8"/>
        <w:spacing w:line="480" w:lineRule="auto"/>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18"/>
        </w:rPr>
      </w:pPr>
    </w:p>
    <w:p>
      <w:pPr>
        <w:pStyle w:val="3"/>
        <w:tabs>
          <w:tab w:val="left" w:pos="3662"/>
        </w:tabs>
        <w:spacing w:before="62"/>
        <w:ind w:left="782"/>
        <w:rPr>
          <w:b/>
          <w:color w:val="auto"/>
          <w:sz w:val="20"/>
        </w:rPr>
      </w:pPr>
      <w:r>
        <w:rPr>
          <w:color w:val="auto"/>
          <w:w w:val="99"/>
        </w:rPr>
        <w:t xml:space="preserve"> </w:t>
      </w:r>
      <w:r>
        <w:rPr>
          <w:color w:val="auto"/>
        </w:rPr>
        <w:tab/>
      </w:r>
    </w:p>
    <w:p>
      <w:pPr>
        <w:spacing w:before="215"/>
        <w:ind w:right="126"/>
        <w:jc w:val="center"/>
        <w:rPr>
          <w:rFonts w:hint="eastAsia" w:eastAsia="宋体"/>
          <w:b/>
          <w:color w:val="auto"/>
          <w:sz w:val="28"/>
          <w:lang w:eastAsia="zh-CN"/>
        </w:rPr>
      </w:pPr>
      <w:r>
        <w:rPr>
          <w:b/>
          <w:color w:val="auto"/>
          <w:sz w:val="28"/>
        </w:rPr>
        <w:t>二、承包人</w:t>
      </w:r>
      <w:r>
        <w:rPr>
          <w:rFonts w:hint="eastAsia"/>
          <w:b/>
          <w:color w:val="auto"/>
          <w:sz w:val="28"/>
          <w:lang w:eastAsia="zh-CN"/>
        </w:rPr>
        <w:t>施工组织设计</w:t>
      </w:r>
    </w:p>
    <w:p>
      <w:pPr>
        <w:pStyle w:val="8"/>
        <w:rPr>
          <w:b/>
          <w:color w:val="auto"/>
          <w:sz w:val="20"/>
        </w:rPr>
      </w:pPr>
    </w:p>
    <w:p>
      <w:pPr>
        <w:pStyle w:val="8"/>
        <w:rPr>
          <w:b/>
          <w:color w:val="auto"/>
          <w:sz w:val="20"/>
        </w:rPr>
      </w:pPr>
    </w:p>
    <w:p>
      <w:pPr>
        <w:pStyle w:val="8"/>
        <w:rPr>
          <w:b/>
          <w:color w:val="auto"/>
          <w:sz w:val="20"/>
        </w:rPr>
      </w:pPr>
    </w:p>
    <w:p>
      <w:pPr>
        <w:pStyle w:val="8"/>
        <w:rPr>
          <w:rFonts w:hint="eastAsia"/>
          <w:b w:val="0"/>
          <w:bCs/>
          <w:color w:val="auto"/>
          <w:sz w:val="21"/>
          <w:szCs w:val="21"/>
        </w:rPr>
      </w:pPr>
    </w:p>
    <w:p>
      <w:pPr>
        <w:pStyle w:val="8"/>
        <w:spacing w:line="480" w:lineRule="auto"/>
        <w:rPr>
          <w:rFonts w:hint="eastAsia"/>
          <w:b w:val="0"/>
          <w:bCs/>
          <w:color w:val="auto"/>
          <w:sz w:val="21"/>
          <w:szCs w:val="21"/>
        </w:rPr>
      </w:pPr>
      <w:r>
        <w:rPr>
          <w:rFonts w:hint="eastAsia"/>
          <w:b w:val="0"/>
          <w:bCs/>
          <w:color w:val="auto"/>
          <w:sz w:val="21"/>
          <w:szCs w:val="21"/>
          <w:lang w:eastAsia="zh-CN"/>
        </w:rPr>
        <w:t>一</w:t>
      </w:r>
      <w:r>
        <w:rPr>
          <w:rFonts w:hint="eastAsia"/>
          <w:b w:val="0"/>
          <w:bCs/>
          <w:color w:val="auto"/>
          <w:sz w:val="21"/>
          <w:szCs w:val="21"/>
        </w:rPr>
        <w:t>、施工方案与技术措施（包括施工平面布置图）；</w:t>
      </w:r>
    </w:p>
    <w:p>
      <w:pPr>
        <w:pStyle w:val="8"/>
        <w:spacing w:line="480" w:lineRule="auto"/>
        <w:rPr>
          <w:rFonts w:hint="eastAsia"/>
          <w:b w:val="0"/>
          <w:bCs/>
          <w:color w:val="auto"/>
          <w:sz w:val="21"/>
          <w:szCs w:val="21"/>
        </w:rPr>
      </w:pPr>
      <w:r>
        <w:rPr>
          <w:rFonts w:hint="eastAsia"/>
          <w:b w:val="0"/>
          <w:bCs/>
          <w:color w:val="auto"/>
          <w:sz w:val="21"/>
          <w:szCs w:val="21"/>
          <w:lang w:eastAsia="zh-CN"/>
        </w:rPr>
        <w:t>二</w:t>
      </w:r>
      <w:r>
        <w:rPr>
          <w:rFonts w:hint="eastAsia"/>
          <w:b w:val="0"/>
          <w:bCs/>
          <w:color w:val="auto"/>
          <w:sz w:val="21"/>
          <w:szCs w:val="21"/>
        </w:rPr>
        <w:t>、质量管理体系与措施；</w:t>
      </w:r>
    </w:p>
    <w:p>
      <w:pPr>
        <w:pStyle w:val="8"/>
        <w:spacing w:line="480" w:lineRule="auto"/>
        <w:rPr>
          <w:rFonts w:hint="eastAsia"/>
          <w:b w:val="0"/>
          <w:bCs/>
          <w:color w:val="auto"/>
          <w:sz w:val="21"/>
          <w:szCs w:val="21"/>
        </w:rPr>
      </w:pPr>
      <w:r>
        <w:rPr>
          <w:rFonts w:hint="eastAsia"/>
          <w:b w:val="0"/>
          <w:bCs/>
          <w:color w:val="auto"/>
          <w:sz w:val="21"/>
          <w:szCs w:val="21"/>
          <w:lang w:eastAsia="zh-CN"/>
        </w:rPr>
        <w:t>三</w:t>
      </w:r>
      <w:r>
        <w:rPr>
          <w:rFonts w:hint="eastAsia"/>
          <w:b w:val="0"/>
          <w:bCs/>
          <w:color w:val="auto"/>
          <w:sz w:val="21"/>
          <w:szCs w:val="21"/>
        </w:rPr>
        <w:t>、安全管理体系与措施；</w:t>
      </w:r>
    </w:p>
    <w:p>
      <w:pPr>
        <w:pStyle w:val="8"/>
        <w:spacing w:line="480" w:lineRule="auto"/>
        <w:rPr>
          <w:rFonts w:hint="eastAsia"/>
          <w:b w:val="0"/>
          <w:bCs/>
          <w:color w:val="auto"/>
          <w:sz w:val="21"/>
          <w:szCs w:val="21"/>
        </w:rPr>
      </w:pPr>
      <w:r>
        <w:rPr>
          <w:rFonts w:hint="eastAsia"/>
          <w:b w:val="0"/>
          <w:bCs/>
          <w:color w:val="auto"/>
          <w:sz w:val="21"/>
          <w:szCs w:val="21"/>
          <w:lang w:eastAsia="zh-CN"/>
        </w:rPr>
        <w:t>四</w:t>
      </w:r>
      <w:r>
        <w:rPr>
          <w:rFonts w:hint="eastAsia"/>
          <w:b w:val="0"/>
          <w:bCs/>
          <w:color w:val="auto"/>
          <w:sz w:val="21"/>
          <w:szCs w:val="21"/>
        </w:rPr>
        <w:t>、环境保护管理体系与措施；</w:t>
      </w:r>
    </w:p>
    <w:p>
      <w:pPr>
        <w:pStyle w:val="8"/>
        <w:spacing w:line="480" w:lineRule="auto"/>
        <w:rPr>
          <w:rFonts w:hint="eastAsia"/>
          <w:b w:val="0"/>
          <w:bCs/>
          <w:color w:val="auto"/>
          <w:sz w:val="21"/>
          <w:szCs w:val="21"/>
        </w:rPr>
      </w:pPr>
      <w:r>
        <w:rPr>
          <w:rFonts w:hint="eastAsia"/>
          <w:b w:val="0"/>
          <w:bCs/>
          <w:color w:val="auto"/>
          <w:sz w:val="21"/>
          <w:szCs w:val="21"/>
          <w:lang w:eastAsia="zh-CN"/>
        </w:rPr>
        <w:t>五</w:t>
      </w:r>
      <w:r>
        <w:rPr>
          <w:rFonts w:hint="eastAsia"/>
          <w:b w:val="0"/>
          <w:bCs/>
          <w:color w:val="auto"/>
          <w:sz w:val="21"/>
          <w:szCs w:val="21"/>
        </w:rPr>
        <w:t>、工程进度计划与保证措施；</w:t>
      </w:r>
    </w:p>
    <w:p>
      <w:pPr>
        <w:pStyle w:val="8"/>
        <w:spacing w:line="480" w:lineRule="auto"/>
        <w:rPr>
          <w:rFonts w:hint="eastAsia"/>
          <w:b w:val="0"/>
          <w:bCs/>
          <w:color w:val="auto"/>
          <w:sz w:val="21"/>
          <w:szCs w:val="21"/>
        </w:rPr>
      </w:pPr>
      <w:r>
        <w:rPr>
          <w:rFonts w:hint="eastAsia"/>
          <w:b w:val="0"/>
          <w:bCs/>
          <w:color w:val="auto"/>
          <w:sz w:val="21"/>
          <w:szCs w:val="21"/>
          <w:lang w:eastAsia="zh-CN"/>
        </w:rPr>
        <w:t>六</w:t>
      </w:r>
      <w:r>
        <w:rPr>
          <w:rFonts w:hint="eastAsia"/>
          <w:b w:val="0"/>
          <w:bCs/>
          <w:color w:val="auto"/>
          <w:sz w:val="21"/>
          <w:szCs w:val="21"/>
        </w:rPr>
        <w:t>、资源配备计划；</w:t>
      </w:r>
    </w:p>
    <w:p>
      <w:pPr>
        <w:pStyle w:val="8"/>
        <w:spacing w:line="480" w:lineRule="auto"/>
        <w:rPr>
          <w:color w:val="auto"/>
          <w:sz w:val="22"/>
        </w:rPr>
      </w:pPr>
    </w:p>
    <w:p>
      <w:pPr>
        <w:pStyle w:val="8"/>
        <w:spacing w:before="3" w:line="480" w:lineRule="auto"/>
        <w:rPr>
          <w:color w:val="auto"/>
          <w:sz w:val="19"/>
        </w:rPr>
      </w:pPr>
    </w:p>
    <w:p>
      <w:pPr>
        <w:spacing w:line="480" w:lineRule="auto"/>
        <w:ind w:left="1141"/>
        <w:rPr>
          <w:color w:val="auto"/>
        </w:rPr>
      </w:pPr>
      <w:r>
        <w:rPr>
          <w:color w:val="auto"/>
        </w:rPr>
        <w:t xml:space="preserve"> </w:t>
      </w:r>
    </w:p>
    <w:p>
      <w:pPr>
        <w:pStyle w:val="8"/>
        <w:spacing w:before="138" w:line="480" w:lineRule="auto"/>
        <w:ind w:left="460"/>
        <w:rPr>
          <w:color w:val="auto"/>
        </w:rPr>
      </w:pPr>
      <w:r>
        <w:rPr>
          <w:color w:val="auto"/>
        </w:rPr>
        <w:t xml:space="preserve"> </w:t>
      </w:r>
    </w:p>
    <w:sectPr>
      <w:footerReference r:id="rId37" w:type="default"/>
      <w:pgSz w:w="11910" w:h="16850"/>
      <w:pgMar w:top="1500" w:right="700" w:bottom="1040" w:left="920" w:header="0" w:footer="8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40576" behindDoc="1" locked="0" layoutInCell="1" allowOverlap="1">
              <wp:simplePos x="0" y="0"/>
              <wp:positionH relativeFrom="page">
                <wp:posOffset>901700</wp:posOffset>
              </wp:positionH>
              <wp:positionV relativeFrom="page">
                <wp:posOffset>9918065</wp:posOffset>
              </wp:positionV>
              <wp:extent cx="82550" cy="139700"/>
              <wp:effectExtent l="0" t="0" r="0" b="0"/>
              <wp:wrapNone/>
              <wp:docPr id="8" name="文本框 47"/>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line="220" w:lineRule="exact"/>
                            <w:ind w:left="20"/>
                            <w:rPr>
                              <w:sz w:val="18"/>
                            </w:rPr>
                          </w:pPr>
                          <w:r>
                            <w:rPr>
                              <w:sz w:val="18"/>
                            </w:rPr>
                            <w:t xml:space="preserve"> </w:t>
                          </w:r>
                        </w:p>
                      </w:txbxContent>
                    </wps:txbx>
                    <wps:bodyPr lIns="0" tIns="0" rIns="0" bIns="0" upright="1"/>
                  </wps:wsp>
                </a:graphicData>
              </a:graphic>
            </wp:anchor>
          </w:drawing>
        </mc:Choice>
        <mc:Fallback>
          <w:pict>
            <v:shape id="文本框 47" o:spid="_x0000_s1026" o:spt="202" type="#_x0000_t202" style="position:absolute;left:0pt;margin-left:71pt;margin-top:780.95pt;height:11pt;width:6.5pt;mso-position-horizontal-relative:page;mso-position-vertical-relative:page;z-index:-263675904;mso-width-relative:page;mso-height-relative:page;" filled="f" stroked="f" coordsize="21600,21600" o:gfxdata="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KHP6TYAAAADQEAAA8AAAAAAAAA&#10;AQAgAAAAIgAAAGRycy9kb3ducmV2LnhtbFBLAQIUABQAAAAIAIdO4kATd7QnnwEAACMDAAAOAAAA&#10;AAAAAAEAIAAAACcBAABkcnMvZTJvRG9jLnhtbFBLBQYAAAAABgAGAFkBAAA4BQAAAAA=&#10;">
              <v:fill on="f" focussize="0,0"/>
              <v:stroke on="f"/>
              <v:imagedata o:title=""/>
              <o:lock v:ext="edit" aspectratio="f"/>
              <v:textbox inset="0mm,0mm,0mm,0mm">
                <w:txbxContent>
                  <w:p>
                    <w:pPr>
                      <w:spacing w:line="220" w:lineRule="exact"/>
                      <w:ind w:left="20"/>
                      <w:rPr>
                        <w:sz w:val="18"/>
                      </w:rPr>
                    </w:pPr>
                    <w:r>
                      <w:rPr>
                        <w:sz w:val="18"/>
                      </w:rPr>
                      <w:t xml:space="preserve"> </w:t>
                    </w:r>
                  </w:p>
                </w:txbxContent>
              </v:textbox>
            </v:shape>
          </w:pict>
        </mc:Fallback>
      </mc:AlternateContent>
    </w:r>
    <w:r>
      <mc:AlternateContent>
        <mc:Choice Requires="wps">
          <w:drawing>
            <wp:anchor distT="0" distB="0" distL="114300" distR="114300" simplePos="0" relativeHeight="239641600" behindDoc="0" locked="0" layoutInCell="1" allowOverlap="1">
              <wp:simplePos x="0" y="0"/>
              <wp:positionH relativeFrom="margin">
                <wp:align>center</wp:align>
              </wp:positionH>
              <wp:positionV relativeFrom="page">
                <wp:posOffset>9916160</wp:posOffset>
              </wp:positionV>
              <wp:extent cx="369570" cy="139700"/>
              <wp:effectExtent l="0" t="0" r="0" b="0"/>
              <wp:wrapNone/>
              <wp:docPr id="9" name="文本框 48"/>
              <wp:cNvGraphicFramePr/>
              <a:graphic xmlns:a="http://schemas.openxmlformats.org/drawingml/2006/main">
                <a:graphicData uri="http://schemas.microsoft.com/office/word/2010/wordprocessingShape">
                  <wps:wsp>
                    <wps:cNvSpPr txBox="1"/>
                    <wps:spPr>
                      <a:xfrm>
                        <a:off x="0" y="0"/>
                        <a:ext cx="369570" cy="139700"/>
                      </a:xfrm>
                      <a:prstGeom prst="rect">
                        <a:avLst/>
                      </a:prstGeom>
                      <a:noFill/>
                      <a:ln>
                        <a:noFill/>
                      </a:ln>
                    </wps:spPr>
                    <wps:txbx>
                      <w:txbxContent>
                        <w:p>
                          <w:pPr>
                            <w:spacing w:line="220" w:lineRule="exact"/>
                            <w:ind w:left="20"/>
                            <w:rPr>
                              <w:sz w:val="18"/>
                            </w:rPr>
                          </w:pPr>
                          <w:r>
                            <w:rPr>
                              <w:sz w:val="18"/>
                            </w:rPr>
                            <w:t xml:space="preserve">- </w:t>
                          </w:r>
                          <w:r>
                            <w:fldChar w:fldCharType="begin"/>
                          </w:r>
                          <w:r>
                            <w:rPr>
                              <w:sz w:val="18"/>
                            </w:rPr>
                            <w:instrText xml:space="preserve"> PAGE </w:instrText>
                          </w:r>
                          <w:r>
                            <w:fldChar w:fldCharType="separate"/>
                          </w:r>
                          <w:r>
                            <w:t>64</w:t>
                          </w:r>
                          <w:r>
                            <w:fldChar w:fldCharType="end"/>
                          </w:r>
                          <w:r>
                            <w:rPr>
                              <w:sz w:val="18"/>
                            </w:rPr>
                            <w:t xml:space="preserve"> -</w:t>
                          </w:r>
                        </w:p>
                      </w:txbxContent>
                    </wps:txbx>
                    <wps:bodyPr lIns="0" tIns="0" rIns="0" bIns="0" upright="1"/>
                  </wps:wsp>
                </a:graphicData>
              </a:graphic>
            </wp:anchor>
          </w:drawing>
        </mc:Choice>
        <mc:Fallback>
          <w:pict>
            <v:shape id="文本框 48" o:spid="_x0000_s1026" o:spt="202" type="#_x0000_t202" style="position:absolute;left:0pt;margin-top:780.8pt;height:11pt;width:29.1pt;mso-position-horizontal:center;mso-position-horizontal-relative:margin;mso-position-vertical-relative:page;z-index:239641600;mso-width-relative:page;mso-height-relative:page;" filled="f" stroked="f" coordsize="21600,21600" o:gfxdata="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P7kKtcAAAAJAQAADwAAAAAAAAAB&#10;ACAAAAAiAAAAZHJzL2Rvd25yZXYueG1sUEsBAhQAFAAAAAgAh07iQENxneyfAQAAJAMAAA4AAAAA&#10;AAAAAQAgAAAAJgEAAGRycy9lMm9Eb2MueG1sUEsFBgAAAAAGAAYAWQEAADcFAAAAAA==&#10;">
              <v:fill on="f" focussize="0,0"/>
              <v:stroke on="f"/>
              <v:imagedata o:title=""/>
              <o:lock v:ext="edit" aspectratio="f"/>
              <v:textbox inset="0mm,0mm,0mm,0mm">
                <w:txbxContent>
                  <w:p>
                    <w:pPr>
                      <w:spacing w:line="220" w:lineRule="exact"/>
                      <w:ind w:left="20"/>
                      <w:rPr>
                        <w:sz w:val="18"/>
                      </w:rPr>
                    </w:pPr>
                    <w:r>
                      <w:rPr>
                        <w:sz w:val="18"/>
                      </w:rPr>
                      <w:t xml:space="preserve">- </w:t>
                    </w:r>
                    <w:r>
                      <w:fldChar w:fldCharType="begin"/>
                    </w:r>
                    <w:r>
                      <w:rPr>
                        <w:sz w:val="18"/>
                      </w:rPr>
                      <w:instrText xml:space="preserve"> PAGE </w:instrText>
                    </w:r>
                    <w:r>
                      <w:fldChar w:fldCharType="separate"/>
                    </w:r>
                    <w:r>
                      <w:t>64</w:t>
                    </w:r>
                    <w:r>
                      <w:fldChar w:fldCharType="end"/>
                    </w:r>
                    <w:r>
                      <w:rPr>
                        <w:sz w:val="1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46720" behindDoc="1" locked="0" layoutInCell="1" allowOverlap="1">
              <wp:simplePos x="0" y="0"/>
              <wp:positionH relativeFrom="page">
                <wp:posOffset>901700</wp:posOffset>
              </wp:positionH>
              <wp:positionV relativeFrom="page">
                <wp:posOffset>9918065</wp:posOffset>
              </wp:positionV>
              <wp:extent cx="82550" cy="139700"/>
              <wp:effectExtent l="0" t="0" r="0" b="0"/>
              <wp:wrapNone/>
              <wp:docPr id="36" name="文本框 50"/>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文本框 50" o:spid="_x0000_s1026" o:spt="202" type="#_x0000_t202" style="position:absolute;left:0pt;margin-left:71pt;margin-top:780.95pt;height:11pt;width:6.5pt;mso-position-horizontal-relative:page;mso-position-vertical-relative:page;z-index:-263669760;mso-width-relative:page;mso-height-relative:page;" filled="f" stroked="f" coordsize="21600,21600" o:gfxdata="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oc/pNgAAAANAQAADwAAAAAAAAAB&#10;ACAAAAAiAAAAZHJzL2Rvd25yZXYueG1sUEsBAhQAFAAAAAgAh07iQNZ9V3OeAQAAJAMAAA4AAAAA&#10;AAAAAQAgAAAAJwEAAGRycy9lMm9Eb2MueG1sUEsFBgAAAAAGAAYAWQEAADcFA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r>
      <mc:AlternateContent>
        <mc:Choice Requires="wps">
          <w:drawing>
            <wp:anchor distT="0" distB="0" distL="114300" distR="114300" simplePos="0" relativeHeight="239647744" behindDoc="0" locked="0" layoutInCell="1" allowOverlap="1">
              <wp:simplePos x="0" y="0"/>
              <wp:positionH relativeFrom="margin">
                <wp:align>center</wp:align>
              </wp:positionH>
              <wp:positionV relativeFrom="page">
                <wp:posOffset>9916160</wp:posOffset>
              </wp:positionV>
              <wp:extent cx="369570" cy="139700"/>
              <wp:effectExtent l="0" t="0" r="0" b="0"/>
              <wp:wrapNone/>
              <wp:docPr id="37" name="文本框 51"/>
              <wp:cNvGraphicFramePr/>
              <a:graphic xmlns:a="http://schemas.openxmlformats.org/drawingml/2006/main">
                <a:graphicData uri="http://schemas.microsoft.com/office/word/2010/wordprocessingShape">
                  <wps:wsp>
                    <wps:cNvSpPr txBox="1"/>
                    <wps:spPr>
                      <a:xfrm>
                        <a:off x="0" y="0"/>
                        <a:ext cx="369570" cy="139700"/>
                      </a:xfrm>
                      <a:prstGeom prst="rect">
                        <a:avLst/>
                      </a:prstGeom>
                      <a:noFill/>
                      <a:ln>
                        <a:noFill/>
                      </a:ln>
                    </wps:spPr>
                    <wps:txbx>
                      <w:txbxContent>
                        <w:p>
                          <w:pPr>
                            <w:spacing w:before="0" w:line="220" w:lineRule="exact"/>
                            <w:ind w:left="20" w:right="0" w:firstLine="0"/>
                            <w:jc w:val="left"/>
                            <w:rPr>
                              <w:sz w:val="18"/>
                            </w:rPr>
                          </w:pPr>
                          <w:r>
                            <w:rPr>
                              <w:sz w:val="18"/>
                            </w:rPr>
                            <w:t xml:space="preserve">- </w:t>
                          </w:r>
                          <w:r>
                            <w:fldChar w:fldCharType="begin"/>
                          </w:r>
                          <w:r>
                            <w:rPr>
                              <w:sz w:val="18"/>
                            </w:rPr>
                            <w:instrText xml:space="preserve"> PAGE </w:instrText>
                          </w:r>
                          <w:r>
                            <w:fldChar w:fldCharType="separate"/>
                          </w:r>
                          <w:r>
                            <w:t>67</w:t>
                          </w:r>
                          <w:r>
                            <w:fldChar w:fldCharType="end"/>
                          </w:r>
                          <w:r>
                            <w:rPr>
                              <w:sz w:val="18"/>
                            </w:rPr>
                            <w:t xml:space="preserve"> -</w:t>
                          </w:r>
                        </w:p>
                      </w:txbxContent>
                    </wps:txbx>
                    <wps:bodyPr lIns="0" tIns="0" rIns="0" bIns="0" upright="1"/>
                  </wps:wsp>
                </a:graphicData>
              </a:graphic>
            </wp:anchor>
          </w:drawing>
        </mc:Choice>
        <mc:Fallback>
          <w:pict>
            <v:shape id="文本框 51" o:spid="_x0000_s1026" o:spt="202" type="#_x0000_t202" style="position:absolute;left:0pt;margin-top:780.8pt;height:11pt;width:29.1pt;mso-position-horizontal:center;mso-position-horizontal-relative:margin;mso-position-vertical-relative:page;z-index:239647744;mso-width-relative:page;mso-height-relative:page;" filled="f" stroked="f" coordsize="21600,21600" o:gfxdata="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g/uQq1wAAAAkBAAAPAAAAAAAA&#10;AAEAIAAAACIAAABkcnMvZG93bnJldi54bWxQSwECFAAUAAAACACHTuJA4KmIy6EBAAAlAwAADgAA&#10;AAAAAAABACAAAAAmAQAAZHJzL2Uyb0RvYy54bWxQSwUGAAAAAAYABgBZAQAAOQU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r>
                      <w:fldChar w:fldCharType="begin"/>
                    </w:r>
                    <w:r>
                      <w:rPr>
                        <w:sz w:val="18"/>
                      </w:rPr>
                      <w:instrText xml:space="preserve"> PAGE </w:instrText>
                    </w:r>
                    <w:r>
                      <w:fldChar w:fldCharType="separate"/>
                    </w:r>
                    <w:r>
                      <w:t>67</w:t>
                    </w:r>
                    <w:r>
                      <w:fldChar w:fldCharType="end"/>
                    </w:r>
                    <w:r>
                      <w:rPr>
                        <w:sz w:val="1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3962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3962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2d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rt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dNnXEAIAAAkEAAAOAAAAAAAAAAEAIAAA&#10;AB8BAABkcnMvZTJvRG9jLnhtbFBLBQYAAAAABgAGAFkBAACh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v:textbox>
            </v:shape>
          </w:pict>
        </mc:Fallback>
      </mc:AlternateContent>
    </w:r>
    <w:r>
      <mc:AlternateContent>
        <mc:Choice Requires="wps">
          <w:drawing>
            <wp:anchor distT="0" distB="0" distL="114300" distR="114300" simplePos="0" relativeHeight="239646720" behindDoc="1" locked="0" layoutInCell="1" allowOverlap="1">
              <wp:simplePos x="0" y="0"/>
              <wp:positionH relativeFrom="page">
                <wp:posOffset>3717290</wp:posOffset>
              </wp:positionH>
              <wp:positionV relativeFrom="page">
                <wp:posOffset>9792335</wp:posOffset>
              </wp:positionV>
              <wp:extent cx="63500" cy="152400"/>
              <wp:effectExtent l="0" t="0" r="0" b="0"/>
              <wp:wrapNone/>
              <wp:docPr id="14" name="文本框 53"/>
              <wp:cNvGraphicFramePr/>
              <a:graphic xmlns:a="http://schemas.openxmlformats.org/drawingml/2006/main">
                <a:graphicData uri="http://schemas.microsoft.com/office/word/2010/wordprocessingShape">
                  <wps:wsp>
                    <wps:cNvSpPr txBox="1"/>
                    <wps:spPr>
                      <a:xfrm>
                        <a:off x="0" y="0"/>
                        <a:ext cx="63500" cy="152400"/>
                      </a:xfrm>
                      <a:prstGeom prst="rect">
                        <a:avLst/>
                      </a:prstGeom>
                      <a:noFill/>
                      <a:ln>
                        <a:noFill/>
                      </a:ln>
                    </wps:spPr>
                    <wps:txbx>
                      <w:txbxContent>
                        <w:p>
                          <w:pPr>
                            <w:spacing w:before="12"/>
                            <w:ind w:left="20"/>
                            <w:rPr>
                              <w:rFonts w:ascii="Times New Roman"/>
                              <w:sz w:val="18"/>
                            </w:rPr>
                          </w:pPr>
                          <w:r>
                            <w:rPr>
                              <w:rFonts w:ascii="Times New Roman"/>
                              <w:w w:val="99"/>
                              <w:sz w:val="18"/>
                            </w:rPr>
                            <w:t>-</w:t>
                          </w:r>
                        </w:p>
                      </w:txbxContent>
                    </wps:txbx>
                    <wps:bodyPr lIns="0" tIns="0" rIns="0" bIns="0" upright="1"/>
                  </wps:wsp>
                </a:graphicData>
              </a:graphic>
            </wp:anchor>
          </w:drawing>
        </mc:Choice>
        <mc:Fallback>
          <w:pict>
            <v:shape id="文本框 53" o:spid="_x0000_s1026" o:spt="202" type="#_x0000_t202" style="position:absolute;left:0pt;margin-left:292.7pt;margin-top:771.05pt;height:12pt;width:5pt;mso-position-horizontal-relative:page;mso-position-vertical-relative:page;z-index:-263669760;mso-width-relative:page;mso-height-relative:page;" filled="f" stroked="f" coordsize="21600,21600" o:gfxdata="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EY0CvaAAAADQEAAA8AAAAAAAAA&#10;AQAgAAAAIgAAAGRycy9kb3ducmV2LnhtbFBLAQIUABQAAAAIAIdO4kAYzZjlnQEAACQDAAAOAAAA&#10;AAAAAAEAIAAAACk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w w:val="99"/>
                        <w:sz w:val="18"/>
                      </w:rPr>
                      <w:t>-</w:t>
                    </w:r>
                  </w:p>
                </w:txbxContent>
              </v:textbox>
            </v:shape>
          </w:pict>
        </mc:Fallback>
      </mc:AlternateContent>
    </w:r>
    <w:r>
      <mc:AlternateContent>
        <mc:Choice Requires="wps">
          <w:drawing>
            <wp:anchor distT="0" distB="0" distL="114300" distR="114300" simplePos="0" relativeHeight="239647744" behindDoc="1" locked="0" layoutInCell="1" allowOverlap="1">
              <wp:simplePos x="0" y="0"/>
              <wp:positionH relativeFrom="page">
                <wp:posOffset>584200</wp:posOffset>
              </wp:positionH>
              <wp:positionV relativeFrom="page">
                <wp:posOffset>9813290</wp:posOffset>
              </wp:positionV>
              <wp:extent cx="88900" cy="152400"/>
              <wp:effectExtent l="0" t="0" r="0" b="0"/>
              <wp:wrapNone/>
              <wp:docPr id="15" name="文本框 54"/>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文本框 54" o:spid="_x0000_s1026" o:spt="202" type="#_x0000_t202" style="position:absolute;left:0pt;margin-left:46pt;margin-top:772.7pt;height:12pt;width:7pt;mso-position-horizontal-relative:page;mso-position-vertical-relative:page;z-index:-263668736;mso-width-relative:page;mso-height-relative:page;" filled="f" stroked="f" coordsize="21600,21600" o:gfxdata="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16yktkAAAAMAQAADwAAAAAAAAAB&#10;ACAAAAAiAAAAZHJzL2Rvd25yZXYueG1sUEsBAhQAFAAAAAgAh07iQDPXGZqdAQAAJAMAAA4AAAAA&#10;AAAAAQAgAAAAKAEAAGRycy9lMm9Eb2MueG1sUEsFBgAAAAAGAAYAWQEAADcFAAAAAA==&#10;">
              <v:fill on="f" focussize="0,0"/>
              <v:stroke on="f"/>
              <v:imagedata o:title=""/>
              <o:lock v:ext="edit" aspectratio="f"/>
              <v:textbox inset="0mm,0mm,0mm,0mm">
                <w:txbxContent>
                  <w:p>
                    <w:pPr>
                      <w:spacing w:line="239" w:lineRule="exact"/>
                      <w:ind w:left="20"/>
                      <w:rPr>
                        <w:sz w:val="20"/>
                      </w:rPr>
                    </w:pPr>
                    <w:r>
                      <w:rPr>
                        <w:w w:val="99"/>
                        <w:sz w:val="20"/>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4016" behindDoc="0" locked="0" layoutInCell="1" allowOverlap="1">
              <wp:simplePos x="0" y="0"/>
              <wp:positionH relativeFrom="margin">
                <wp:align>center</wp:align>
              </wp:positionH>
              <wp:positionV relativeFrom="page">
                <wp:posOffset>9920605</wp:posOffset>
              </wp:positionV>
              <wp:extent cx="274320" cy="1524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49</w:t>
                          </w:r>
                          <w:r>
                            <w:fldChar w:fldCharType="end"/>
                          </w:r>
                          <w:r>
                            <w:rPr>
                              <w:rFonts w:ascii="Times New Roman"/>
                              <w:sz w:val="18"/>
                            </w:rPr>
                            <w:t xml:space="preserve"> -</w:t>
                          </w:r>
                        </w:p>
                      </w:txbxContent>
                    </wps:txbx>
                    <wps:bodyPr lIns="0" tIns="0" rIns="0" bIns="0" upright="1"/>
                  </wps:wsp>
                </a:graphicData>
              </a:graphic>
            </wp:anchor>
          </w:drawing>
        </mc:Choice>
        <mc:Fallback>
          <w:pict>
            <v:shape id="文本框 11" o:spid="_x0000_s1026" o:spt="202" type="#_x0000_t202" style="position:absolute;left:0pt;margin-top:781.15pt;height:12pt;width:21.6pt;mso-position-horizontal:center;mso-position-horizontal-relative:margin;mso-position-vertical-relative:page;z-index:241494016;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jGf7tcAAAAJAQAADwAAAAAAAAAB&#10;ACAAAAAiAAAAZHJzL2Rvd25yZXYueG1sUEsBAhQAFAAAAAgAh07iQNbZkNWfAQAAJQ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49</w:t>
                    </w:r>
                    <w:r>
                      <w:fldChar w:fldCharType="end"/>
                    </w:r>
                    <w:r>
                      <w:rPr>
                        <w:rFonts w:ascii="Times New Roman"/>
                        <w:sz w:val="1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5040" behindDoc="0" locked="0" layoutInCell="1" allowOverlap="1">
              <wp:simplePos x="0" y="0"/>
              <wp:positionH relativeFrom="margin">
                <wp:align>center</wp:align>
              </wp:positionH>
              <wp:positionV relativeFrom="page">
                <wp:posOffset>9920605</wp:posOffset>
              </wp:positionV>
              <wp:extent cx="274320" cy="152400"/>
              <wp:effectExtent l="0" t="0" r="0" b="0"/>
              <wp:wrapNone/>
              <wp:docPr id="21" name="文本框 10"/>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59</w:t>
                          </w:r>
                          <w:r>
                            <w:fldChar w:fldCharType="end"/>
                          </w:r>
                          <w:r>
                            <w:rPr>
                              <w:rFonts w:ascii="Times New Roman"/>
                              <w:sz w:val="18"/>
                            </w:rPr>
                            <w:t xml:space="preserve"> -</w:t>
                          </w:r>
                        </w:p>
                      </w:txbxContent>
                    </wps:txbx>
                    <wps:bodyPr lIns="0" tIns="0" rIns="0" bIns="0" upright="1"/>
                  </wps:wsp>
                </a:graphicData>
              </a:graphic>
            </wp:anchor>
          </w:drawing>
        </mc:Choice>
        <mc:Fallback>
          <w:pict>
            <v:shape id="文本框 10" o:spid="_x0000_s1026" o:spt="202" type="#_x0000_t202" style="position:absolute;left:0pt;margin-top:781.15pt;height:12pt;width:21.6pt;mso-position-horizontal:center;mso-position-horizontal-relative:margin;mso-position-vertical-relative:page;z-index:241495040;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jGf7tcAAAAJAQAADwAAAAAAAAAB&#10;ACAAAAAiAAAAZHJzL2Rvd25yZXYueG1sUEsBAhQAFAAAAAgAh07iQBOlrg2fAQAAJQ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59</w:t>
                    </w:r>
                    <w:r>
                      <w:fldChar w:fldCharType="end"/>
                    </w:r>
                    <w:r>
                      <w:rPr>
                        <w:rFonts w:ascii="Times New Roman"/>
                        <w:sz w:val="1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6064" behindDoc="0" locked="0" layoutInCell="1" allowOverlap="1">
              <wp:simplePos x="0" y="0"/>
              <wp:positionH relativeFrom="margin">
                <wp:align>center</wp:align>
              </wp:positionH>
              <wp:positionV relativeFrom="page">
                <wp:posOffset>9920605</wp:posOffset>
              </wp:positionV>
              <wp:extent cx="274320" cy="15240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69</w:t>
                          </w:r>
                          <w:r>
                            <w:fldChar w:fldCharType="end"/>
                          </w:r>
                          <w:r>
                            <w:rPr>
                              <w:rFonts w:ascii="Times New Roman"/>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top:781.15pt;height:12pt;width:21.6pt;mso-position-horizontal:center;mso-position-horizontal-relative:margin;mso-position-vertical-relative:page;z-index:241496064;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jGf7tcAAAAJAQAADwAAAAAAAAAB&#10;ACAAAAAiAAAAZHJzL2Rvd25yZXYueG1sUEsBAhQAFAAAAAgAh07iQH21wUafAQAAJA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69</w:t>
                    </w:r>
                    <w:r>
                      <w:fldChar w:fldCharType="end"/>
                    </w:r>
                    <w:r>
                      <w:rPr>
                        <w:rFonts w:ascii="Times New Roman"/>
                        <w:sz w:val="1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7088" behindDoc="0" locked="0" layoutInCell="1" allowOverlap="1">
              <wp:simplePos x="0" y="0"/>
              <wp:positionH relativeFrom="margin">
                <wp:align>center</wp:align>
              </wp:positionH>
              <wp:positionV relativeFrom="page">
                <wp:posOffset>9920605</wp:posOffset>
              </wp:positionV>
              <wp:extent cx="274320" cy="152400"/>
              <wp:effectExtent l="0" t="0" r="0" b="0"/>
              <wp:wrapNone/>
              <wp:docPr id="23" name="文本框 8"/>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79</w:t>
                          </w:r>
                          <w:r>
                            <w:fldChar w:fldCharType="end"/>
                          </w:r>
                          <w:r>
                            <w:rPr>
                              <w:rFonts w:ascii="Times New Roman"/>
                              <w:sz w:val="18"/>
                            </w:rPr>
                            <w:t xml:space="preserve"> -</w:t>
                          </w:r>
                        </w:p>
                      </w:txbxContent>
                    </wps:txbx>
                    <wps:bodyPr lIns="0" tIns="0" rIns="0" bIns="0" upright="1"/>
                  </wps:wsp>
                </a:graphicData>
              </a:graphic>
            </wp:anchor>
          </w:drawing>
        </mc:Choice>
        <mc:Fallback>
          <w:pict>
            <v:shape id="文本框 8" o:spid="_x0000_s1026" o:spt="202" type="#_x0000_t202" style="position:absolute;left:0pt;margin-top:781.15pt;height:12pt;width:21.6pt;mso-position-horizontal:center;mso-position-horizontal-relative:margin;mso-position-vertical-relative:page;z-index:241497088;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oxn+7XAAAACQEAAA8AAAAAAAAA&#10;AQAgAAAAIgAAAGRycy9kb3ducmV2LnhtbFBLAQIUABQAAAAIAIdO4kCIROjl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79</w:t>
                    </w:r>
                    <w:r>
                      <w:fldChar w:fldCharType="end"/>
                    </w:r>
                    <w:r>
                      <w:rPr>
                        <w:rFonts w:ascii="Times New Roman"/>
                        <w:sz w:val="1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8112" behindDoc="0" locked="0" layoutInCell="1" allowOverlap="1">
              <wp:simplePos x="0" y="0"/>
              <wp:positionH relativeFrom="margin">
                <wp:align>center</wp:align>
              </wp:positionH>
              <wp:positionV relativeFrom="page">
                <wp:posOffset>9920605</wp:posOffset>
              </wp:positionV>
              <wp:extent cx="274320" cy="152400"/>
              <wp:effectExtent l="0" t="0" r="0" b="0"/>
              <wp:wrapNone/>
              <wp:docPr id="24" name="文本框 7"/>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89</w:t>
                          </w:r>
                          <w:r>
                            <w:fldChar w:fldCharType="end"/>
                          </w:r>
                          <w:r>
                            <w:rPr>
                              <w:rFonts w:ascii="Times New Roman"/>
                              <w:sz w:val="18"/>
                            </w:rPr>
                            <w:t xml:space="preserve"> -</w:t>
                          </w:r>
                        </w:p>
                      </w:txbxContent>
                    </wps:txbx>
                    <wps:bodyPr lIns="0" tIns="0" rIns="0" bIns="0" upright="1"/>
                  </wps:wsp>
                </a:graphicData>
              </a:graphic>
            </wp:anchor>
          </w:drawing>
        </mc:Choice>
        <mc:Fallback>
          <w:pict>
            <v:shape id="文本框 7" o:spid="_x0000_s1026" o:spt="202" type="#_x0000_t202" style="position:absolute;left:0pt;margin-top:781.15pt;height:12pt;width:21.6pt;mso-position-horizontal:center;mso-position-horizontal-relative:margin;mso-position-vertical-relative:page;z-index:241498112;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jGf7tcAAAAJAQAADwAAAAAAAAAB&#10;ACAAAAAiAAAAZHJzL2Rvd25yZXYueG1sUEsBAhQAFAAAAAgAh07iQHIgFcKfAQAAJA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89</w:t>
                    </w:r>
                    <w:r>
                      <w:fldChar w:fldCharType="end"/>
                    </w:r>
                    <w:r>
                      <w:rPr>
                        <w:rFonts w:ascii="Times New Roman"/>
                        <w:sz w:val="1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99136" behindDoc="0" locked="0" layoutInCell="1" allowOverlap="1">
              <wp:simplePos x="0" y="0"/>
              <wp:positionH relativeFrom="margin">
                <wp:align>center</wp:align>
              </wp:positionH>
              <wp:positionV relativeFrom="page">
                <wp:posOffset>9920605</wp:posOffset>
              </wp:positionV>
              <wp:extent cx="274320" cy="152400"/>
              <wp:effectExtent l="0" t="0" r="0" b="0"/>
              <wp:wrapNone/>
              <wp:docPr id="25" name="文本框 6"/>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99</w:t>
                          </w:r>
                          <w:r>
                            <w:fldChar w:fldCharType="end"/>
                          </w:r>
                          <w:r>
                            <w:rPr>
                              <w:rFonts w:ascii="Times New Roman"/>
                              <w:sz w:val="18"/>
                            </w:rPr>
                            <w:t xml:space="preserve"> -</w:t>
                          </w:r>
                        </w:p>
                      </w:txbxContent>
                    </wps:txbx>
                    <wps:bodyPr lIns="0" tIns="0" rIns="0" bIns="0" upright="1"/>
                  </wps:wsp>
                </a:graphicData>
              </a:graphic>
            </wp:anchor>
          </w:drawing>
        </mc:Choice>
        <mc:Fallback>
          <w:pict>
            <v:shape id="文本框 6" o:spid="_x0000_s1026" o:spt="202" type="#_x0000_t202" style="position:absolute;left:0pt;margin-top:781.15pt;height:12pt;width:21.6pt;mso-position-horizontal:center;mso-position-horizontal-relative:margin;mso-position-vertical-relative:page;z-index:241499136;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oxn+7XAAAACQEAAA8AAAAAAAAA&#10;AQAgAAAAIgAAAGRycy9kb3ducmV2LnhtbFBLAQIUABQAAAAIAIdO4kCH0Txh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99</w:t>
                    </w:r>
                    <w:r>
                      <w:fldChar w:fldCharType="end"/>
                    </w:r>
                    <w:r>
                      <w:rPr>
                        <w:rFonts w:ascii="Times New Roman"/>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3"/>
      </w:rPr>
    </w:pPr>
    <w:r>
      <mc:AlternateContent>
        <mc:Choice Requires="wps">
          <w:drawing>
            <wp:anchor distT="0" distB="0" distL="114300" distR="114300" simplePos="0" relativeHeight="23962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3962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mc:AlternateContent>
        <mc:Choice Requires="wps">
          <w:drawing>
            <wp:anchor distT="0" distB="0" distL="114300" distR="114300" simplePos="0" relativeHeight="239626240" behindDoc="1" locked="0" layoutInCell="1" allowOverlap="1">
              <wp:simplePos x="0" y="0"/>
              <wp:positionH relativeFrom="page">
                <wp:posOffset>3714115</wp:posOffset>
              </wp:positionH>
              <wp:positionV relativeFrom="page">
                <wp:posOffset>9721215</wp:posOffset>
              </wp:positionV>
              <wp:extent cx="6350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3500" cy="152400"/>
                      </a:xfrm>
                      <a:prstGeom prst="rect">
                        <a:avLst/>
                      </a:prstGeom>
                      <a:noFill/>
                      <a:ln>
                        <a:noFill/>
                      </a:ln>
                    </wps:spPr>
                    <wps:txbx>
                      <w:txbxContent>
                        <w:p>
                          <w:pPr>
                            <w:spacing w:before="12"/>
                            <w:ind w:left="20"/>
                            <w:rPr>
                              <w:rFonts w:ascii="Times New Roman"/>
                              <w:sz w:val="18"/>
                            </w:rPr>
                          </w:pPr>
                          <w:r>
                            <w:rPr>
                              <w:rFonts w:ascii="Times New Roman"/>
                              <w:w w:val="99"/>
                              <w:sz w:val="18"/>
                            </w:rPr>
                            <w:t>-</w:t>
                          </w:r>
                        </w:p>
                      </w:txbxContent>
                    </wps:txbx>
                    <wps:bodyPr lIns="0" tIns="0" rIns="0" bIns="0" upright="1"/>
                  </wps:wsp>
                </a:graphicData>
              </a:graphic>
            </wp:anchor>
          </w:drawing>
        </mc:Choice>
        <mc:Fallback>
          <w:pict>
            <v:shape id="_x0000_s1026" o:spid="_x0000_s1026" o:spt="202" type="#_x0000_t202" style="position:absolute;left:0pt;margin-left:292.45pt;margin-top:765.45pt;height:12pt;width:5pt;mso-position-horizontal-relative:page;mso-position-vertical-relative:page;z-index:-263690240;mso-width-relative:page;mso-height-relative:page;" filled="f" stroked="f" coordsize="21600,21600" o:gfxdata="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i6pfXAAAADQEAAA8AAAAAAAAAAQAg&#10;AAAAIgAAAGRycy9kb3ducmV2LnhtbFBLAQIUABQAAAAIAIdO4kAArwOVnQEAACQDAAAOAAAAAAAA&#10;AAEAIAAAACYBAABkcnMvZTJvRG9jLnhtbFBLBQYAAAAABgAGAFkBAAA1BQAAAAA=&#10;">
              <v:fill on="f" focussize="0,0"/>
              <v:stroke on="f"/>
              <v:imagedata o:title=""/>
              <o:lock v:ext="edit" aspectratio="f"/>
              <v:textbox inset="0mm,0mm,0mm,0mm">
                <w:txbxContent>
                  <w:p>
                    <w:pPr>
                      <w:spacing w:before="12"/>
                      <w:ind w:left="20"/>
                      <w:rPr>
                        <w:rFonts w:ascii="Times New Roman"/>
                        <w:sz w:val="18"/>
                      </w:rPr>
                    </w:pPr>
                    <w:r>
                      <w:rPr>
                        <w:rFonts w:ascii="Times New Roman"/>
                        <w:w w:val="99"/>
                        <w:sz w:val="18"/>
                      </w:rPr>
                      <w:t>-</w:t>
                    </w:r>
                  </w:p>
                </w:txbxContent>
              </v:textbox>
            </v:shape>
          </w:pict>
        </mc:Fallback>
      </mc:AlternateContent>
    </w:r>
    <w:r>
      <mc:AlternateContent>
        <mc:Choice Requires="wps">
          <w:drawing>
            <wp:anchor distT="0" distB="0" distL="114300" distR="114300" simplePos="0" relativeHeight="239627264" behindDoc="1" locked="0" layoutInCell="1" allowOverlap="1">
              <wp:simplePos x="0" y="0"/>
              <wp:positionH relativeFrom="page">
                <wp:posOffset>909320</wp:posOffset>
              </wp:positionH>
              <wp:positionV relativeFrom="page">
                <wp:posOffset>9834880</wp:posOffset>
              </wp:positionV>
              <wp:extent cx="63500" cy="1016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63500" cy="101600"/>
                      </a:xfrm>
                      <a:prstGeom prst="rect">
                        <a:avLst/>
                      </a:prstGeom>
                      <a:noFill/>
                      <a:ln>
                        <a:noFill/>
                      </a:ln>
                    </wps:spPr>
                    <wps:txbx>
                      <w:txbxContent>
                        <w:p>
                          <w:pPr>
                            <w:spacing w:before="3"/>
                            <w:ind w:left="20"/>
                            <w:rPr>
                              <w:sz w:val="12"/>
                            </w:rPr>
                          </w:pPr>
                          <w:r>
                            <w:rPr>
                              <w:sz w:val="12"/>
                            </w:rPr>
                            <w:t xml:space="preserve"> </w:t>
                          </w:r>
                        </w:p>
                      </w:txbxContent>
                    </wps:txbx>
                    <wps:bodyPr lIns="0" tIns="0" rIns="0" bIns="0" upright="1"/>
                  </wps:wsp>
                </a:graphicData>
              </a:graphic>
            </wp:anchor>
          </w:drawing>
        </mc:Choice>
        <mc:Fallback>
          <w:pict>
            <v:shape id="_x0000_s1026" o:spid="_x0000_s1026" o:spt="202" type="#_x0000_t202" style="position:absolute;left:0pt;margin-left:71.6pt;margin-top:774.4pt;height:8pt;width:5pt;mso-position-horizontal-relative:page;mso-position-vertical-relative:page;z-index:-263689216;mso-width-relative:page;mso-height-relative:page;" filled="f" stroked="f" coordsize="21600,21600" o:gfxdata="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VIAKl2AAAAA0BAAAPAAAAAAAAAAEA&#10;IAAAACIAAABkcnMvZG93bnJldi54bWxQSwECFAAUAAAACACHTuJAeicSiJ0BAAAkAwAADgAAAAAA&#10;AAABACAAAAAnAQAAZHJzL2Uyb0RvYy54bWxQSwUGAAAAAAYABgBZAQAANgUAAAAA&#10;">
              <v:fill on="f" focussize="0,0"/>
              <v:stroke on="f"/>
              <v:imagedata o:title=""/>
              <o:lock v:ext="edit" aspectratio="f"/>
              <v:textbox inset="0mm,0mm,0mm,0mm">
                <w:txbxContent>
                  <w:p>
                    <w:pPr>
                      <w:spacing w:before="3"/>
                      <w:ind w:left="20"/>
                      <w:rPr>
                        <w:sz w:val="12"/>
                      </w:rPr>
                    </w:pPr>
                    <w:r>
                      <w:rPr>
                        <w:sz w:val="12"/>
                      </w:rPr>
                      <w:t xml:space="preserve"> </w:t>
                    </w:r>
                  </w:p>
                </w:txbxContent>
              </v:textbox>
            </v:shape>
          </w:pict>
        </mc:Fallback>
      </mc:AlternateContent>
    </w:r>
    <w:r>
      <w:rPr>
        <w:rFonts w:hint="eastAsia"/>
        <w:sz w:val="13"/>
        <w:lang w:val="en-US"/>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3232" behindDoc="0" locked="0" layoutInCell="1" allowOverlap="1">
              <wp:simplePos x="0" y="0"/>
              <wp:positionH relativeFrom="margin">
                <wp:align>center</wp:align>
              </wp:positionH>
              <wp:positionV relativeFrom="page">
                <wp:posOffset>9920605</wp:posOffset>
              </wp:positionV>
              <wp:extent cx="332105" cy="152400"/>
              <wp:effectExtent l="0" t="0" r="0" b="0"/>
              <wp:wrapNone/>
              <wp:docPr id="38" name="文本框 5"/>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102</w:t>
                          </w:r>
                          <w:r>
                            <w:fldChar w:fldCharType="end"/>
                          </w:r>
                          <w:r>
                            <w:rPr>
                              <w:rFonts w:ascii="Times New Roman"/>
                              <w:sz w:val="18"/>
                            </w:rPr>
                            <w:t xml:space="preserve"> -</w:t>
                          </w:r>
                        </w:p>
                      </w:txbxContent>
                    </wps:txbx>
                    <wps:bodyPr lIns="0" tIns="0" rIns="0" bIns="0" upright="1"/>
                  </wps:wsp>
                </a:graphicData>
              </a:graphic>
            </wp:anchor>
          </w:drawing>
        </mc:Choice>
        <mc:Fallback>
          <w:pict>
            <v:shape id="文本框 5" o:spid="_x0000_s1026" o:spt="202" type="#_x0000_t202" style="position:absolute;left:0pt;margin-top:781.15pt;height:12pt;width:26.15pt;mso-position-horizontal:center;mso-position-horizontal-relative:margin;mso-position-vertical-relative:page;z-index:241503232;mso-width-relative:page;mso-height-relative:page;" filled="f" stroked="f" coordsize="21600,21600" o:gfxdata="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jH7/XAAAACQEAAA8AAAAAAAAA&#10;AQAgAAAAIgAAAGRycy9kb3ducmV2LnhtbFBLAQIUABQAAAAIAIdO4kDD/y1b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102</w:t>
                    </w:r>
                    <w:r>
                      <w:fldChar w:fldCharType="end"/>
                    </w:r>
                    <w:r>
                      <w:rPr>
                        <w:rFonts w:ascii="Times New Roman"/>
                        <w:sz w:val="1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0160" behindDoc="0" locked="0" layoutInCell="1" allowOverlap="1">
              <wp:simplePos x="0" y="0"/>
              <wp:positionH relativeFrom="margin">
                <wp:align>center</wp:align>
              </wp:positionH>
              <wp:positionV relativeFrom="page">
                <wp:posOffset>9920605</wp:posOffset>
              </wp:positionV>
              <wp:extent cx="332105" cy="1524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102</w:t>
                          </w:r>
                          <w:r>
                            <w:fldChar w:fldCharType="end"/>
                          </w:r>
                          <w:r>
                            <w:rPr>
                              <w:rFonts w:ascii="Times New Roman"/>
                              <w:sz w:val="18"/>
                            </w:rPr>
                            <w:t xml:space="preserve"> -</w:t>
                          </w:r>
                        </w:p>
                      </w:txbxContent>
                    </wps:txbx>
                    <wps:bodyPr lIns="0" tIns="0" rIns="0" bIns="0" upright="1"/>
                  </wps:wsp>
                </a:graphicData>
              </a:graphic>
            </wp:anchor>
          </w:drawing>
        </mc:Choice>
        <mc:Fallback>
          <w:pict>
            <v:shape id="文本框 5" o:spid="_x0000_s1026" o:spt="202" type="#_x0000_t202" style="position:absolute;left:0pt;margin-top:781.15pt;height:12pt;width:26.15pt;mso-position-horizontal:center;mso-position-horizontal-relative:margin;mso-position-vertical-relative:page;z-index:241500160;mso-width-relative:page;mso-height-relative:page;" filled="f" stroked="f" coordsize="21600,21600" o:gfxdata="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jH7/XAAAACQEAAA8AAAAAAAAA&#10;AQAgAAAAIgAAAGRycy9kb3ducmV2LnhtbFBLAQIUABQAAAAIAIdO4kCtDPh4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102</w:t>
                    </w:r>
                    <w:r>
                      <w:fldChar w:fldCharType="end"/>
                    </w:r>
                    <w:r>
                      <w:rPr>
                        <w:rFonts w:ascii="Times New Roman"/>
                        <w:sz w:val="1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1184" behindDoc="0" locked="0" layoutInCell="1" allowOverlap="1">
              <wp:simplePos x="0" y="0"/>
              <wp:positionH relativeFrom="margin">
                <wp:align>center</wp:align>
              </wp:positionH>
              <wp:positionV relativeFrom="page">
                <wp:posOffset>10010775</wp:posOffset>
              </wp:positionV>
              <wp:extent cx="332105" cy="1524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109</w:t>
                          </w:r>
                          <w:r>
                            <w:fldChar w:fldCharType="end"/>
                          </w:r>
                          <w:r>
                            <w:rPr>
                              <w:rFonts w:ascii="Times New Roman"/>
                              <w:sz w:val="18"/>
                            </w:rPr>
                            <w:t xml:space="preserve"> -</w:t>
                          </w:r>
                        </w:p>
                      </w:txbxContent>
                    </wps:txbx>
                    <wps:bodyPr lIns="0" tIns="0" rIns="0" bIns="0" upright="1"/>
                  </wps:wsp>
                </a:graphicData>
              </a:graphic>
            </wp:anchor>
          </w:drawing>
        </mc:Choice>
        <mc:Fallback>
          <w:pict>
            <v:shape id="文本框 4" o:spid="_x0000_s1026" o:spt="202" type="#_x0000_t202" style="position:absolute;left:0pt;margin-top:788.25pt;height:12pt;width:26.15pt;mso-position-horizontal:center;mso-position-horizontal-relative:margin;mso-position-vertical-relative:page;z-index:241501184;mso-width-relative:page;mso-height-relative:page;" filled="f" stroked="f" coordsize="21600,21600" o:gfxdata="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ZkRvXAAAACQEAAA8AAAAAAAAA&#10;AQAgAAAAIgAAAGRycy9kb3ducmV2LnhtbFBLAQIUABQAAAAIAIdO4kBY/dHb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109</w:t>
                    </w:r>
                    <w:r>
                      <w:fldChar w:fldCharType="end"/>
                    </w:r>
                    <w:r>
                      <w:rPr>
                        <w:rFonts w:ascii="Times New Roman"/>
                        <w:sz w:val="1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2208" behindDoc="0" locked="0" layoutInCell="1" allowOverlap="1">
              <wp:simplePos x="0" y="0"/>
              <wp:positionH relativeFrom="margin">
                <wp:align>center</wp:align>
              </wp:positionH>
              <wp:positionV relativeFrom="page">
                <wp:posOffset>10010775</wp:posOffset>
              </wp:positionV>
              <wp:extent cx="327660" cy="15240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32766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119</w:t>
                          </w:r>
                          <w:r>
                            <w:fldChar w:fldCharType="end"/>
                          </w:r>
                          <w:r>
                            <w:rPr>
                              <w:rFonts w:ascii="Times New Roman"/>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top:788.25pt;height:12pt;width:25.8pt;mso-position-horizontal:center;mso-position-horizontal-relative:margin;mso-position-vertical-relative:page;z-index:241502208;mso-width-relative:page;mso-height-relative:page;" filled="f" stroked="f" coordsize="21600,21600" o:gfxdata="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MdZa9cAAAAJAQAADwAAAAAAAAAB&#10;ACAAAAAiAAAAZHJzL2Rvd25yZXYueG1sUEsBAhQAFAAAAAgAh07iQAPpIeGfAQAAJA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119</w:t>
                    </w:r>
                    <w:r>
                      <w:fldChar w:fldCharType="end"/>
                    </w:r>
                    <w:r>
                      <w:rPr>
                        <w:rFonts w:ascii="Times New Roman"/>
                        <w:sz w:val="1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3232" behindDoc="0" locked="0" layoutInCell="1" allowOverlap="1">
              <wp:simplePos x="0" y="0"/>
              <wp:positionH relativeFrom="margin">
                <wp:align>center</wp:align>
              </wp:positionH>
              <wp:positionV relativeFrom="page">
                <wp:posOffset>10012680</wp:posOffset>
              </wp:positionV>
              <wp:extent cx="332105" cy="152400"/>
              <wp:effectExtent l="0" t="0" r="0" b="0"/>
              <wp:wrapNone/>
              <wp:docPr id="29" name="文本框 2"/>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129</w:t>
                          </w:r>
                          <w:r>
                            <w:fldChar w:fldCharType="end"/>
                          </w:r>
                          <w:r>
                            <w:rPr>
                              <w:rFonts w:ascii="Times New Roman"/>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top:788.4pt;height:12pt;width:26.15pt;mso-position-horizontal:center;mso-position-horizontal-relative:margin;mso-position-vertical-relative:page;z-index:241503232;mso-width-relative:page;mso-height-relative:page;" filled="f" stroked="f" coordsize="21600,21600" o:gfxdata="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Qlvx7XAAAACQEAAA8AAAAAAAAA&#10;AQAgAAAAIgAAAGRycy9kb3ducmV2LnhtbFBLAQIUABQAAAAIAIdO4kA49B1GoAEAACQ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129</w:t>
                    </w:r>
                    <w:r>
                      <w:fldChar w:fldCharType="end"/>
                    </w:r>
                    <w:r>
                      <w:rPr>
                        <w:rFonts w:ascii="Times New Roman"/>
                        <w:sz w:val="18"/>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504256" behindDoc="0" locked="0" layoutInCell="1" allowOverlap="1">
              <wp:simplePos x="0" y="0"/>
              <wp:positionH relativeFrom="margin">
                <wp:align>center</wp:align>
              </wp:positionH>
              <wp:positionV relativeFrom="page">
                <wp:posOffset>10012680</wp:posOffset>
              </wp:positionV>
              <wp:extent cx="332105" cy="1524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134</w:t>
                          </w:r>
                          <w:r>
                            <w:fldChar w:fldCharType="end"/>
                          </w:r>
                          <w:r>
                            <w:rPr>
                              <w:rFonts w:ascii="Times New Roman"/>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top:788.4pt;height:12pt;width:26.15pt;mso-position-horizontal:center;mso-position-horizontal-relative:margin;mso-position-vertical-relative:page;z-index:241504256;mso-width-relative:page;mso-height-relative:page;" filled="f" stroked="f" coordsize="21600,21600" o:gfxdata="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CW/HtcAAAAJAQAADwAAAAAAAAAB&#10;ACAAAAAiAAAAZHJzL2Rvd25yZXYueG1sUEsBAhQAFAAAAAgAh07iQOYDLiufAQAAJAMAAA4AAAAA&#10;AAAAAQAgAAAAJgEAAGRycy9lMm9Eb2MueG1sUEsFBgAAAAAGAAYAWQEAADc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134</w:t>
                    </w:r>
                    <w:r>
                      <w:fldChar w:fldCharType="end"/>
                    </w:r>
                    <w:r>
                      <w:rPr>
                        <w:rFonts w:ascii="Times New Roman"/>
                        <w:sz w:val="18"/>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54912" behindDoc="0" locked="0" layoutInCell="1" allowOverlap="1">
              <wp:simplePos x="0" y="0"/>
              <wp:positionH relativeFrom="margin">
                <wp:align>center</wp:align>
              </wp:positionH>
              <wp:positionV relativeFrom="page">
                <wp:posOffset>9916160</wp:posOffset>
              </wp:positionV>
              <wp:extent cx="427355" cy="141605"/>
              <wp:effectExtent l="0" t="0" r="0" b="0"/>
              <wp:wrapNone/>
              <wp:docPr id="16" name="文本框 55"/>
              <wp:cNvGraphicFramePr/>
              <a:graphic xmlns:a="http://schemas.openxmlformats.org/drawingml/2006/main">
                <a:graphicData uri="http://schemas.microsoft.com/office/word/2010/wordprocessingShape">
                  <wps:wsp>
                    <wps:cNvSpPr txBox="1"/>
                    <wps:spPr>
                      <a:xfrm>
                        <a:off x="0" y="0"/>
                        <a:ext cx="427355" cy="141605"/>
                      </a:xfrm>
                      <a:prstGeom prst="rect">
                        <a:avLst/>
                      </a:prstGeom>
                      <a:noFill/>
                      <a:ln>
                        <a:noFill/>
                      </a:ln>
                    </wps:spPr>
                    <wps:txbx>
                      <w:txbxContent>
                        <w:p>
                          <w:pPr>
                            <w:spacing w:line="222" w:lineRule="exact"/>
                            <w:ind w:left="20"/>
                            <w:rPr>
                              <w:sz w:val="18"/>
                            </w:rPr>
                          </w:pPr>
                          <w:r>
                            <w:rPr>
                              <w:sz w:val="18"/>
                            </w:rPr>
                            <w:t xml:space="preserve">- </w:t>
                          </w:r>
                          <w:r>
                            <w:fldChar w:fldCharType="begin"/>
                          </w:r>
                          <w:r>
                            <w:rPr>
                              <w:sz w:val="18"/>
                            </w:rPr>
                            <w:instrText xml:space="preserve"> PAGE </w:instrText>
                          </w:r>
                          <w:r>
                            <w:fldChar w:fldCharType="separate"/>
                          </w:r>
                          <w:r>
                            <w:t>150</w:t>
                          </w:r>
                          <w:r>
                            <w:fldChar w:fldCharType="end"/>
                          </w:r>
                          <w:r>
                            <w:rPr>
                              <w:sz w:val="18"/>
                            </w:rPr>
                            <w:t xml:space="preserve"> -</w:t>
                          </w:r>
                        </w:p>
                      </w:txbxContent>
                    </wps:txbx>
                    <wps:bodyPr lIns="0" tIns="0" rIns="0" bIns="0" upright="1"/>
                  </wps:wsp>
                </a:graphicData>
              </a:graphic>
            </wp:anchor>
          </w:drawing>
        </mc:Choice>
        <mc:Fallback>
          <w:pict>
            <v:shape id="文本框 55" o:spid="_x0000_s1026" o:spt="202" type="#_x0000_t202" style="position:absolute;left:0pt;margin-top:780.8pt;height:11.15pt;width:33.65pt;mso-position-horizontal:center;mso-position-horizontal-relative:margin;mso-position-vertical-relative:page;z-index:239654912;mso-width-relative:page;mso-height-relative:page;" filled="f" stroked="f" coordsize="21600,21600" o:gfxdata="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A/AJTYAAAACQEAAA8AAAAAAAAA&#10;AQAgAAAAIgAAAGRycy9kb3ducmV2LnhtbFBLAQIUABQAAAAIAIdO4kAXPEOOnwEAACUDAAAOAAAA&#10;AAAAAAEAIAAAACcBAABkcnMvZTJvRG9jLnhtbFBLBQYAAAAABgAGAFkBAAA4BQAAAAA=&#10;">
              <v:fill on="f" focussize="0,0"/>
              <v:stroke on="f"/>
              <v:imagedata o:title=""/>
              <o:lock v:ext="edit" aspectratio="f"/>
              <v:textbox inset="0mm,0mm,0mm,0mm">
                <w:txbxContent>
                  <w:p>
                    <w:pPr>
                      <w:spacing w:line="222" w:lineRule="exact"/>
                      <w:ind w:left="20"/>
                      <w:rPr>
                        <w:sz w:val="18"/>
                      </w:rPr>
                    </w:pPr>
                    <w:r>
                      <w:rPr>
                        <w:sz w:val="18"/>
                      </w:rPr>
                      <w:t xml:space="preserve">- </w:t>
                    </w:r>
                    <w:r>
                      <w:fldChar w:fldCharType="begin"/>
                    </w:r>
                    <w:r>
                      <w:rPr>
                        <w:sz w:val="18"/>
                      </w:rPr>
                      <w:instrText xml:space="preserve"> PAGE </w:instrText>
                    </w:r>
                    <w:r>
                      <w:fldChar w:fldCharType="separate"/>
                    </w:r>
                    <w:r>
                      <w:t>150</w:t>
                    </w:r>
                    <w:r>
                      <w:fldChar w:fldCharType="end"/>
                    </w:r>
                    <w:r>
                      <w:rPr>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41485824" behindDoc="0" locked="0" layoutInCell="1" allowOverlap="1">
              <wp:simplePos x="0" y="0"/>
              <wp:positionH relativeFrom="margin">
                <wp:align>center</wp:align>
              </wp:positionH>
              <wp:positionV relativeFrom="page">
                <wp:posOffset>9995535</wp:posOffset>
              </wp:positionV>
              <wp:extent cx="217805" cy="154305"/>
              <wp:effectExtent l="0" t="0" r="0" b="0"/>
              <wp:wrapNone/>
              <wp:docPr id="17" name="文本框 19"/>
              <wp:cNvGraphicFramePr/>
              <a:graphic xmlns:a="http://schemas.openxmlformats.org/drawingml/2006/main">
                <a:graphicData uri="http://schemas.microsoft.com/office/word/2010/wordprocessingShape">
                  <wps:wsp>
                    <wps:cNvSpPr txBox="1"/>
                    <wps:spPr>
                      <a:xfrm>
                        <a:off x="0" y="0"/>
                        <a:ext cx="217805" cy="154305"/>
                      </a:xfrm>
                      <a:prstGeom prst="rect">
                        <a:avLst/>
                      </a:prstGeom>
                      <a:noFill/>
                      <a:ln>
                        <a:noFill/>
                      </a:ln>
                    </wps:spPr>
                    <wps:txbx>
                      <w:txbxContent>
                        <w:p>
                          <w:pPr>
                            <w:spacing w:before="9"/>
                            <w:ind w:left="20"/>
                            <w:rPr>
                              <w:rFonts w:ascii="Times New Roman"/>
                              <w:sz w:val="18"/>
                            </w:rPr>
                          </w:pPr>
                          <w:r>
                            <w:rPr>
                              <w:rFonts w:ascii="Times New Roman"/>
                              <w:position w:val="2"/>
                              <w:sz w:val="18"/>
                            </w:rPr>
                            <w:t xml:space="preserve">- </w:t>
                          </w:r>
                          <w:r>
                            <w:fldChar w:fldCharType="begin"/>
                          </w:r>
                          <w:r>
                            <w:rPr>
                              <w:rFonts w:ascii="Times New Roman"/>
                              <w:position w:val="2"/>
                              <w:sz w:val="18"/>
                            </w:rPr>
                            <w:instrText xml:space="preserve"> PAGE </w:instrText>
                          </w:r>
                          <w:r>
                            <w:fldChar w:fldCharType="separate"/>
                          </w:r>
                          <w:r>
                            <w:rPr>
                              <w:rFonts w:ascii="Times New Roman"/>
                              <w:position w:val="2"/>
                              <w:sz w:val="18"/>
                            </w:rPr>
                            <w:t>13</w:t>
                          </w:r>
                          <w:r>
                            <w:fldChar w:fldCharType="end"/>
                          </w:r>
                          <w:r>
                            <w:rPr>
                              <w:rFonts w:ascii="Times New Roman"/>
                              <w:sz w:val="18"/>
                            </w:rPr>
                            <w:t xml:space="preserve"> </w:t>
                          </w:r>
                          <w:r>
                            <w:rPr>
                              <w:rFonts w:ascii="Times New Roman"/>
                              <w:position w:val="2"/>
                              <w:sz w:val="18"/>
                            </w:rPr>
                            <w:t>-</w:t>
                          </w:r>
                        </w:p>
                      </w:txbxContent>
                    </wps:txbx>
                    <wps:bodyPr lIns="0" tIns="0" rIns="0" bIns="0" upright="1"/>
                  </wps:wsp>
                </a:graphicData>
              </a:graphic>
            </wp:anchor>
          </w:drawing>
        </mc:Choice>
        <mc:Fallback>
          <w:pict>
            <v:shape id="文本框 19" o:spid="_x0000_s1026" o:spt="202" type="#_x0000_t202" style="position:absolute;left:0pt;margin-top:787.05pt;height:12.15pt;width:17.15pt;mso-position-horizontal:center;mso-position-horizontal-relative:margin;mso-position-vertical-relative:page;z-index:241485824;mso-width-relative:page;mso-height-relative:page;" filled="f" stroked="f" coordsize="21600,21600" o:gfxdata="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Lu9nT2AAAAAkBAAAPAAAAAAAA&#10;AAEAIAAAACIAAABkcnMvZG93bnJldi54bWxQSwECFAAUAAAACACHTuJAT6MInqABAAAlAwAADgAA&#10;AAAAAAABACAAAAAnAQAAZHJzL2Uyb0RvYy54bWxQSwUGAAAAAAYABgBZAQAAOQUAAAAA&#10;">
              <v:fill on="f" focussize="0,0"/>
              <v:stroke on="f"/>
              <v:imagedata o:title=""/>
              <o:lock v:ext="edit" aspectratio="f"/>
              <v:textbox inset="0mm,0mm,0mm,0mm">
                <w:txbxContent>
                  <w:p>
                    <w:pPr>
                      <w:spacing w:before="9"/>
                      <w:ind w:left="20"/>
                      <w:rPr>
                        <w:rFonts w:ascii="Times New Roman"/>
                        <w:sz w:val="18"/>
                      </w:rPr>
                    </w:pPr>
                    <w:r>
                      <w:rPr>
                        <w:rFonts w:ascii="Times New Roman"/>
                        <w:position w:val="2"/>
                        <w:sz w:val="18"/>
                      </w:rPr>
                      <w:t xml:space="preserve">- </w:t>
                    </w:r>
                    <w:r>
                      <w:fldChar w:fldCharType="begin"/>
                    </w:r>
                    <w:r>
                      <w:rPr>
                        <w:rFonts w:ascii="Times New Roman"/>
                        <w:position w:val="2"/>
                        <w:sz w:val="18"/>
                      </w:rPr>
                      <w:instrText xml:space="preserve"> PAGE </w:instrText>
                    </w:r>
                    <w:r>
                      <w:fldChar w:fldCharType="separate"/>
                    </w:r>
                    <w:r>
                      <w:rPr>
                        <w:rFonts w:ascii="Times New Roman"/>
                        <w:position w:val="2"/>
                        <w:sz w:val="18"/>
                      </w:rPr>
                      <w:t>13</w:t>
                    </w:r>
                    <w:r>
                      <w:fldChar w:fldCharType="end"/>
                    </w:r>
                    <w:r>
                      <w:rPr>
                        <w:rFonts w:ascii="Times New Roman"/>
                        <w:sz w:val="18"/>
                      </w:rPr>
                      <w:t xml:space="preserve"> </w:t>
                    </w:r>
                    <w:r>
                      <w:rPr>
                        <w:rFonts w:ascii="Times New Roman"/>
                        <w:position w:val="2"/>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86848" behindDoc="0" locked="0" layoutInCell="1" allowOverlap="1">
              <wp:simplePos x="0" y="0"/>
              <wp:positionH relativeFrom="margin">
                <wp:align>center</wp:align>
              </wp:positionH>
              <wp:positionV relativeFrom="page">
                <wp:posOffset>9995535</wp:posOffset>
              </wp:positionV>
              <wp:extent cx="274320" cy="1543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74320" cy="154305"/>
                      </a:xfrm>
                      <a:prstGeom prst="rect">
                        <a:avLst/>
                      </a:prstGeom>
                      <a:noFill/>
                      <a:ln>
                        <a:noFill/>
                      </a:ln>
                    </wps:spPr>
                    <wps:txbx>
                      <w:txbxContent>
                        <w:p>
                          <w:pPr>
                            <w:spacing w:before="9"/>
                            <w:ind w:left="20"/>
                            <w:rPr>
                              <w:rFonts w:ascii="Times New Roman"/>
                              <w:sz w:val="18"/>
                            </w:rPr>
                          </w:pPr>
                          <w:r>
                            <w:rPr>
                              <w:rFonts w:ascii="Times New Roman"/>
                              <w:position w:val="2"/>
                              <w:sz w:val="18"/>
                            </w:rPr>
                            <w:t xml:space="preserve">- </w:t>
                          </w:r>
                          <w:r>
                            <w:fldChar w:fldCharType="begin"/>
                          </w:r>
                          <w:r>
                            <w:rPr>
                              <w:rFonts w:ascii="Times New Roman"/>
                              <w:position w:val="2"/>
                              <w:sz w:val="18"/>
                            </w:rPr>
                            <w:instrText xml:space="preserve"> PAGE </w:instrText>
                          </w:r>
                          <w:r>
                            <w:fldChar w:fldCharType="separate"/>
                          </w:r>
                          <w:r>
                            <w:rPr>
                              <w:rFonts w:ascii="Times New Roman"/>
                              <w:position w:val="2"/>
                              <w:sz w:val="18"/>
                            </w:rPr>
                            <w:t>19</w:t>
                          </w:r>
                          <w:r>
                            <w:fldChar w:fldCharType="end"/>
                          </w:r>
                          <w:r>
                            <w:rPr>
                              <w:rFonts w:ascii="Times New Roman"/>
                              <w:sz w:val="18"/>
                            </w:rPr>
                            <w:t xml:space="preserve"> </w:t>
                          </w:r>
                          <w:r>
                            <w:rPr>
                              <w:rFonts w:ascii="Times New Roman"/>
                              <w:spacing w:val="-30"/>
                              <w:position w:val="2"/>
                              <w:sz w:val="18"/>
                            </w:rPr>
                            <w:t>-</w:t>
                          </w:r>
                        </w:p>
                      </w:txbxContent>
                    </wps:txbx>
                    <wps:bodyPr lIns="0" tIns="0" rIns="0" bIns="0" upright="1"/>
                  </wps:wsp>
                </a:graphicData>
              </a:graphic>
            </wp:anchor>
          </w:drawing>
        </mc:Choice>
        <mc:Fallback>
          <w:pict>
            <v:shape id="_x0000_s1026" o:spid="_x0000_s1026" o:spt="202" type="#_x0000_t202" style="position:absolute;left:0pt;margin-top:787.05pt;height:12.15pt;width:21.6pt;mso-position-horizontal:center;mso-position-horizontal-relative:margin;mso-position-vertical-relative:page;z-index:241486848;mso-width-relative:page;mso-height-relative:page;" filled="f" stroked="f" coordsize="21600,21600" o:gfxdata="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FFLLdgAAAAJAQAADwAAAAAAAAAB&#10;ACAAAAAiAAAAZHJzL2Rvd25yZXYueG1sUEsBAhQAFAAAAAgAh07iQIEB4XSeAQAAJQMAAA4AAAAA&#10;AAAAAQAgAAAAJwEAAGRycy9lMm9Eb2MueG1sUEsFBgAAAAAGAAYAWQEAADcFAAAAAA==&#10;">
              <v:fill on="f" focussize="0,0"/>
              <v:stroke on="f"/>
              <v:imagedata o:title=""/>
              <o:lock v:ext="edit" aspectratio="f"/>
              <v:textbox inset="0mm,0mm,0mm,0mm">
                <w:txbxContent>
                  <w:p>
                    <w:pPr>
                      <w:spacing w:before="9"/>
                      <w:ind w:left="20"/>
                      <w:rPr>
                        <w:rFonts w:ascii="Times New Roman"/>
                        <w:sz w:val="18"/>
                      </w:rPr>
                    </w:pPr>
                    <w:r>
                      <w:rPr>
                        <w:rFonts w:ascii="Times New Roman"/>
                        <w:position w:val="2"/>
                        <w:sz w:val="18"/>
                      </w:rPr>
                      <w:t xml:space="preserve">- </w:t>
                    </w:r>
                    <w:r>
                      <w:fldChar w:fldCharType="begin"/>
                    </w:r>
                    <w:r>
                      <w:rPr>
                        <w:rFonts w:ascii="Times New Roman"/>
                        <w:position w:val="2"/>
                        <w:sz w:val="18"/>
                      </w:rPr>
                      <w:instrText xml:space="preserve"> PAGE </w:instrText>
                    </w:r>
                    <w:r>
                      <w:fldChar w:fldCharType="separate"/>
                    </w:r>
                    <w:r>
                      <w:rPr>
                        <w:rFonts w:ascii="Times New Roman"/>
                        <w:position w:val="2"/>
                        <w:sz w:val="18"/>
                      </w:rPr>
                      <w:t>19</w:t>
                    </w:r>
                    <w:r>
                      <w:fldChar w:fldCharType="end"/>
                    </w:r>
                    <w:r>
                      <w:rPr>
                        <w:rFonts w:ascii="Times New Roman"/>
                        <w:sz w:val="18"/>
                      </w:rPr>
                      <w:t xml:space="preserve"> </w:t>
                    </w:r>
                    <w:r>
                      <w:rPr>
                        <w:rFonts w:ascii="Times New Roman"/>
                        <w:spacing w:val="-30"/>
                        <w:position w:val="2"/>
                        <w:sz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1487872" behindDoc="0" locked="0" layoutInCell="1" allowOverlap="1">
              <wp:simplePos x="0" y="0"/>
              <wp:positionH relativeFrom="margin">
                <wp:align>center</wp:align>
              </wp:positionH>
              <wp:positionV relativeFrom="page">
                <wp:posOffset>9920605</wp:posOffset>
              </wp:positionV>
              <wp:extent cx="274320" cy="152400"/>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24</w:t>
                          </w:r>
                          <w:r>
                            <w:fldChar w:fldCharType="end"/>
                          </w:r>
                          <w:r>
                            <w:rPr>
                              <w:rFonts w:ascii="Times New Roman"/>
                              <w:sz w:val="18"/>
                            </w:rPr>
                            <w:t xml:space="preserve"> -</w:t>
                          </w:r>
                        </w:p>
                      </w:txbxContent>
                    </wps:txbx>
                    <wps:bodyPr lIns="0" tIns="0" rIns="0" bIns="0" upright="1"/>
                  </wps:wsp>
                </a:graphicData>
              </a:graphic>
            </wp:anchor>
          </w:drawing>
        </mc:Choice>
        <mc:Fallback>
          <w:pict>
            <v:shape id="文本框 17" o:spid="_x0000_s1026" o:spt="202" type="#_x0000_t202" style="position:absolute;left:0pt;margin-top:781.15pt;height:12pt;width:21.6pt;mso-position-horizontal:center;mso-position-horizontal-relative:margin;mso-position-vertical-relative:page;z-index:241487872;mso-width-relative:page;mso-height-relative:page;" filled="f" stroked="f" coordsize="21600,21600" o:gfxdata="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oxn+7XAAAACQEAAA8AAAAAAAAA&#10;AQAgAAAAIgAAAGRycy9kb3ducmV2LnhtbFBLAQIUABQAAAAIAIdO4kBZ1ibLoAEAACUDAAAOAAAA&#10;AAAAAAEAIAAAACYBAABkcnMvZTJvRG9jLnhtbFBLBQYAAAAABgAGAFkBAAA4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24</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35456" behindDoc="0" locked="0" layoutInCell="1" allowOverlap="1">
              <wp:simplePos x="0" y="0"/>
              <wp:positionH relativeFrom="margin">
                <wp:align>center</wp:align>
              </wp:positionH>
              <wp:positionV relativeFrom="page">
                <wp:posOffset>6779895</wp:posOffset>
              </wp:positionV>
              <wp:extent cx="369570" cy="143510"/>
              <wp:effectExtent l="0" t="0" r="0" b="0"/>
              <wp:wrapNone/>
              <wp:docPr id="3" name="文本框 42"/>
              <wp:cNvGraphicFramePr/>
              <a:graphic xmlns:a="http://schemas.openxmlformats.org/drawingml/2006/main">
                <a:graphicData uri="http://schemas.microsoft.com/office/word/2010/wordprocessingShape">
                  <wps:wsp>
                    <wps:cNvSpPr txBox="1"/>
                    <wps:spPr>
                      <a:xfrm>
                        <a:off x="0" y="0"/>
                        <a:ext cx="369570" cy="143510"/>
                      </a:xfrm>
                      <a:prstGeom prst="rect">
                        <a:avLst/>
                      </a:prstGeom>
                      <a:noFill/>
                      <a:ln>
                        <a:noFill/>
                      </a:ln>
                    </wps:spPr>
                    <wps:txbx>
                      <w:txbxContent>
                        <w:p>
                          <w:pPr>
                            <w:spacing w:line="225" w:lineRule="exact"/>
                            <w:ind w:left="20"/>
                            <w:rPr>
                              <w:sz w:val="18"/>
                            </w:rPr>
                          </w:pPr>
                          <w:r>
                            <w:rPr>
                              <w:sz w:val="18"/>
                            </w:rPr>
                            <w:t xml:space="preserve">- </w:t>
                          </w:r>
                          <w:r>
                            <w:fldChar w:fldCharType="begin"/>
                          </w:r>
                          <w:r>
                            <w:rPr>
                              <w:sz w:val="18"/>
                            </w:rPr>
                            <w:instrText xml:space="preserve"> PAGE </w:instrText>
                          </w:r>
                          <w:r>
                            <w:fldChar w:fldCharType="separate"/>
                          </w:r>
                          <w:r>
                            <w:t>60</w:t>
                          </w:r>
                          <w:r>
                            <w:fldChar w:fldCharType="end"/>
                          </w:r>
                          <w:r>
                            <w:rPr>
                              <w:sz w:val="18"/>
                            </w:rPr>
                            <w:t xml:space="preserve"> </w:t>
                          </w:r>
                          <w:r>
                            <w:rPr>
                              <w:spacing w:val="-90"/>
                              <w:sz w:val="18"/>
                            </w:rPr>
                            <w:t>-</w:t>
                          </w:r>
                        </w:p>
                      </w:txbxContent>
                    </wps:txbx>
                    <wps:bodyPr lIns="0" tIns="0" rIns="0" bIns="0" upright="1"/>
                  </wps:wsp>
                </a:graphicData>
              </a:graphic>
            </wp:anchor>
          </w:drawing>
        </mc:Choice>
        <mc:Fallback>
          <w:pict>
            <v:shape id="文本框 42" o:spid="_x0000_s1026" o:spt="202" type="#_x0000_t202" style="position:absolute;left:0pt;margin-top:533.85pt;height:11.3pt;width:29.1pt;mso-position-horizontal:center;mso-position-horizontal-relative:margin;mso-position-vertical-relative:page;z-index:239635456;mso-width-relative:page;mso-height-relative:page;" filled="f" stroked="f" coordsize="21600,21600" o:gfxdata="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eMcQvXAAAACQEAAA8AAAAAAAAA&#10;AQAgAAAAIgAAAGRycy9kb3ducmV2LnhtbFBLAQIUABQAAAAIAIdO4kAMRHhFoAEAACQDAAAOAAAA&#10;AAAAAAEAIAAAACYBAABkcnMvZTJvRG9jLnhtbFBLBQYAAAAABgAGAFkBAAA4BQAAAAA=&#10;">
              <v:fill on="f" focussize="0,0"/>
              <v:stroke on="f"/>
              <v:imagedata o:title=""/>
              <o:lock v:ext="edit" aspectratio="f"/>
              <v:textbox inset="0mm,0mm,0mm,0mm">
                <w:txbxContent>
                  <w:p>
                    <w:pPr>
                      <w:spacing w:line="225" w:lineRule="exact"/>
                      <w:ind w:left="20"/>
                      <w:rPr>
                        <w:sz w:val="18"/>
                      </w:rPr>
                    </w:pPr>
                    <w:r>
                      <w:rPr>
                        <w:sz w:val="18"/>
                      </w:rPr>
                      <w:t xml:space="preserve">- </w:t>
                    </w:r>
                    <w:r>
                      <w:fldChar w:fldCharType="begin"/>
                    </w:r>
                    <w:r>
                      <w:rPr>
                        <w:sz w:val="18"/>
                      </w:rPr>
                      <w:instrText xml:space="preserve"> PAGE </w:instrText>
                    </w:r>
                    <w:r>
                      <w:fldChar w:fldCharType="separate"/>
                    </w:r>
                    <w:r>
                      <w:t>60</w:t>
                    </w:r>
                    <w:r>
                      <w:fldChar w:fldCharType="end"/>
                    </w:r>
                    <w:r>
                      <w:rPr>
                        <w:sz w:val="18"/>
                      </w:rPr>
                      <w:t xml:space="preserve"> </w:t>
                    </w:r>
                    <w:r>
                      <w:rPr>
                        <w:spacing w:val="-90"/>
                        <w:sz w:val="1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36480" behindDoc="0" locked="0" layoutInCell="1" allowOverlap="1">
              <wp:simplePos x="0" y="0"/>
              <wp:positionH relativeFrom="margin">
                <wp:align>center</wp:align>
              </wp:positionH>
              <wp:positionV relativeFrom="page">
                <wp:posOffset>6784340</wp:posOffset>
              </wp:positionV>
              <wp:extent cx="369570" cy="141605"/>
              <wp:effectExtent l="0" t="0" r="0" b="0"/>
              <wp:wrapNone/>
              <wp:docPr id="4" name="文本框 43"/>
              <wp:cNvGraphicFramePr/>
              <a:graphic xmlns:a="http://schemas.openxmlformats.org/drawingml/2006/main">
                <a:graphicData uri="http://schemas.microsoft.com/office/word/2010/wordprocessingShape">
                  <wps:wsp>
                    <wps:cNvSpPr txBox="1"/>
                    <wps:spPr>
                      <a:xfrm>
                        <a:off x="0" y="0"/>
                        <a:ext cx="369570" cy="141605"/>
                      </a:xfrm>
                      <a:prstGeom prst="rect">
                        <a:avLst/>
                      </a:prstGeom>
                      <a:noFill/>
                      <a:ln>
                        <a:noFill/>
                      </a:ln>
                    </wps:spPr>
                    <wps:txbx>
                      <w:txbxContent>
                        <w:p>
                          <w:pPr>
                            <w:spacing w:line="222" w:lineRule="exact"/>
                            <w:ind w:left="20"/>
                            <w:rPr>
                              <w:sz w:val="18"/>
                            </w:rPr>
                          </w:pPr>
                          <w:r>
                            <w:rPr>
                              <w:sz w:val="18"/>
                            </w:rPr>
                            <w:t xml:space="preserve">- </w:t>
                          </w:r>
                          <w:r>
                            <w:fldChar w:fldCharType="begin"/>
                          </w:r>
                          <w:r>
                            <w:rPr>
                              <w:sz w:val="18"/>
                            </w:rPr>
                            <w:instrText xml:space="preserve"> PAGE </w:instrText>
                          </w:r>
                          <w:r>
                            <w:fldChar w:fldCharType="separate"/>
                          </w:r>
                          <w:r>
                            <w:t>61</w:t>
                          </w:r>
                          <w:r>
                            <w:fldChar w:fldCharType="end"/>
                          </w:r>
                          <w:r>
                            <w:rPr>
                              <w:sz w:val="18"/>
                            </w:rPr>
                            <w:t xml:space="preserve"> </w:t>
                          </w:r>
                          <w:r>
                            <w:rPr>
                              <w:spacing w:val="-90"/>
                              <w:sz w:val="18"/>
                            </w:rPr>
                            <w:t>-</w:t>
                          </w:r>
                        </w:p>
                      </w:txbxContent>
                    </wps:txbx>
                    <wps:bodyPr lIns="0" tIns="0" rIns="0" bIns="0" upright="1"/>
                  </wps:wsp>
                </a:graphicData>
              </a:graphic>
            </wp:anchor>
          </w:drawing>
        </mc:Choice>
        <mc:Fallback>
          <w:pict>
            <v:shape id="文本框 43" o:spid="_x0000_s1026" o:spt="202" type="#_x0000_t202" style="position:absolute;left:0pt;margin-top:534.2pt;height:11.15pt;width:29.1pt;mso-position-horizontal:center;mso-position-horizontal-relative:margin;mso-position-vertical-relative:page;z-index:239636480;mso-width-relative:page;mso-height-relative:page;" filled="f" stroked="f" coordsize="21600,21600" o:gfxdata="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5QRnXAAAACQEAAA8AAAAAAAAA&#10;AQAgAAAAIgAAAGRycy9kb3ducmV2LnhtbFBLAQIUABQAAAAIAIdO4kCFpUjuoAEAACQDAAAOAAAA&#10;AAAAAAEAIAAAACYBAABkcnMvZTJvRG9jLnhtbFBLBQYAAAAABgAGAFkBAAA4BQAAAAA=&#10;">
              <v:fill on="f" focussize="0,0"/>
              <v:stroke on="f"/>
              <v:imagedata o:title=""/>
              <o:lock v:ext="edit" aspectratio="f"/>
              <v:textbox inset="0mm,0mm,0mm,0mm">
                <w:txbxContent>
                  <w:p>
                    <w:pPr>
                      <w:spacing w:line="222" w:lineRule="exact"/>
                      <w:ind w:left="20"/>
                      <w:rPr>
                        <w:sz w:val="18"/>
                      </w:rPr>
                    </w:pPr>
                    <w:r>
                      <w:rPr>
                        <w:sz w:val="18"/>
                      </w:rPr>
                      <w:t xml:space="preserve">- </w:t>
                    </w:r>
                    <w:r>
                      <w:fldChar w:fldCharType="begin"/>
                    </w:r>
                    <w:r>
                      <w:rPr>
                        <w:sz w:val="18"/>
                      </w:rPr>
                      <w:instrText xml:space="preserve"> PAGE </w:instrText>
                    </w:r>
                    <w:r>
                      <w:fldChar w:fldCharType="separate"/>
                    </w:r>
                    <w:r>
                      <w:t>61</w:t>
                    </w:r>
                    <w:r>
                      <w:fldChar w:fldCharType="end"/>
                    </w:r>
                    <w:r>
                      <w:rPr>
                        <w:sz w:val="18"/>
                      </w:rPr>
                      <w:t xml:space="preserve"> </w:t>
                    </w:r>
                    <w:r>
                      <w:rPr>
                        <w:spacing w:val="-90"/>
                        <w:sz w:val="1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37504" behindDoc="1" locked="0" layoutInCell="1" allowOverlap="1">
              <wp:simplePos x="0" y="0"/>
              <wp:positionH relativeFrom="page">
                <wp:posOffset>3593465</wp:posOffset>
              </wp:positionH>
              <wp:positionV relativeFrom="page">
                <wp:posOffset>9916160</wp:posOffset>
              </wp:positionV>
              <wp:extent cx="369570" cy="141605"/>
              <wp:effectExtent l="0" t="0" r="0" b="0"/>
              <wp:wrapNone/>
              <wp:docPr id="5" name="文本框 44"/>
              <wp:cNvGraphicFramePr/>
              <a:graphic xmlns:a="http://schemas.openxmlformats.org/drawingml/2006/main">
                <a:graphicData uri="http://schemas.microsoft.com/office/word/2010/wordprocessingShape">
                  <wps:wsp>
                    <wps:cNvSpPr txBox="1"/>
                    <wps:spPr>
                      <a:xfrm>
                        <a:off x="0" y="0"/>
                        <a:ext cx="369570" cy="141605"/>
                      </a:xfrm>
                      <a:prstGeom prst="rect">
                        <a:avLst/>
                      </a:prstGeom>
                      <a:noFill/>
                      <a:ln>
                        <a:noFill/>
                      </a:ln>
                    </wps:spPr>
                    <wps:txbx>
                      <w:txbxContent>
                        <w:p>
                          <w:pPr>
                            <w:spacing w:line="222" w:lineRule="exact"/>
                            <w:ind w:left="20"/>
                            <w:rPr>
                              <w:sz w:val="18"/>
                            </w:rPr>
                          </w:pPr>
                          <w:r>
                            <w:rPr>
                              <w:spacing w:val="1"/>
                              <w:sz w:val="18"/>
                            </w:rPr>
                            <w:t>-</w:t>
                          </w:r>
                          <w:r>
                            <w:rPr>
                              <w:rFonts w:hint="eastAsia"/>
                              <w:spacing w:val="1"/>
                              <w:sz w:val="18"/>
                              <w:lang w:val="en-US"/>
                            </w:rPr>
                            <w:t>34</w:t>
                          </w:r>
                          <w:r>
                            <w:rPr>
                              <w:spacing w:val="-2"/>
                              <w:sz w:val="18"/>
                            </w:rPr>
                            <w:t xml:space="preserve"> </w:t>
                          </w:r>
                          <w:r>
                            <w:rPr>
                              <w:sz w:val="18"/>
                            </w:rPr>
                            <w:t>-</w:t>
                          </w:r>
                        </w:p>
                      </w:txbxContent>
                    </wps:txbx>
                    <wps:bodyPr lIns="0" tIns="0" rIns="0" bIns="0" upright="1"/>
                  </wps:wsp>
                </a:graphicData>
              </a:graphic>
            </wp:anchor>
          </w:drawing>
        </mc:Choice>
        <mc:Fallback>
          <w:pict>
            <v:shape id="文本框 44" o:spid="_x0000_s1026" o:spt="202" type="#_x0000_t202" style="position:absolute;left:0pt;margin-left:282.95pt;margin-top:780.8pt;height:11.15pt;width:29.1pt;mso-position-horizontal-relative:page;mso-position-vertical-relative:page;z-index:-263678976;mso-width-relative:page;mso-height-relative:page;" filled="f" stroked="f" coordsize="21600,21600" o:gfxdata="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tiGyW2wAAAA0BAAAPAAAA&#10;AAAAAAEAIAAAACIAAABkcnMvZG93bnJldi54bWxQSwECFAAUAAAACACHTuJAZWn7AqABAAAkAwAA&#10;DgAAAAAAAAABACAAAAAqAQAAZHJzL2Uyb0RvYy54bWxQSwUGAAAAAAYABgBZAQAAPAUAAAAA&#10;">
              <v:fill on="f" focussize="0,0"/>
              <v:stroke on="f"/>
              <v:imagedata o:title=""/>
              <o:lock v:ext="edit" aspectratio="f"/>
              <v:textbox inset="0mm,0mm,0mm,0mm">
                <w:txbxContent>
                  <w:p>
                    <w:pPr>
                      <w:spacing w:line="222" w:lineRule="exact"/>
                      <w:ind w:left="20"/>
                      <w:rPr>
                        <w:sz w:val="18"/>
                      </w:rPr>
                    </w:pPr>
                    <w:r>
                      <w:rPr>
                        <w:spacing w:val="1"/>
                        <w:sz w:val="18"/>
                      </w:rPr>
                      <w:t>-</w:t>
                    </w:r>
                    <w:r>
                      <w:rPr>
                        <w:rFonts w:hint="eastAsia"/>
                        <w:spacing w:val="1"/>
                        <w:sz w:val="18"/>
                        <w:lang w:val="en-US"/>
                      </w:rPr>
                      <w:t>34</w:t>
                    </w:r>
                    <w:r>
                      <w:rPr>
                        <w:spacing w:val="-2"/>
                        <w:sz w:val="18"/>
                      </w:rPr>
                      <w:t xml:space="preserve"> </w:t>
                    </w:r>
                    <w:r>
                      <w:rPr>
                        <w:sz w:val="1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38528" behindDoc="1" locked="0" layoutInCell="1" allowOverlap="1">
              <wp:simplePos x="0" y="0"/>
              <wp:positionH relativeFrom="page">
                <wp:posOffset>5161915</wp:posOffset>
              </wp:positionH>
              <wp:positionV relativeFrom="page">
                <wp:posOffset>6784340</wp:posOffset>
              </wp:positionV>
              <wp:extent cx="369570" cy="141605"/>
              <wp:effectExtent l="0" t="0" r="0" b="0"/>
              <wp:wrapNone/>
              <wp:docPr id="6" name="文本框 45"/>
              <wp:cNvGraphicFramePr/>
              <a:graphic xmlns:a="http://schemas.openxmlformats.org/drawingml/2006/main">
                <a:graphicData uri="http://schemas.microsoft.com/office/word/2010/wordprocessingShape">
                  <wps:wsp>
                    <wps:cNvSpPr txBox="1"/>
                    <wps:spPr>
                      <a:xfrm>
                        <a:off x="0" y="0"/>
                        <a:ext cx="369570" cy="141605"/>
                      </a:xfrm>
                      <a:prstGeom prst="rect">
                        <a:avLst/>
                      </a:prstGeom>
                      <a:noFill/>
                      <a:ln>
                        <a:noFill/>
                      </a:ln>
                    </wps:spPr>
                    <wps:txbx>
                      <w:txbxContent>
                        <w:p>
                          <w:pPr>
                            <w:spacing w:line="222" w:lineRule="exact"/>
                            <w:ind w:left="20"/>
                            <w:rPr>
                              <w:sz w:val="18"/>
                              <w:lang w:val="en-US"/>
                            </w:rPr>
                          </w:pPr>
                          <w:r>
                            <w:rPr>
                              <w:spacing w:val="1"/>
                              <w:sz w:val="18"/>
                            </w:rPr>
                            <w:t xml:space="preserve">- </w:t>
                          </w:r>
                          <w:r>
                            <w:rPr>
                              <w:rFonts w:hint="eastAsia"/>
                              <w:spacing w:val="-2"/>
                              <w:sz w:val="18"/>
                              <w:lang w:val="en-US"/>
                            </w:rPr>
                            <w:t>35</w:t>
                          </w:r>
                        </w:p>
                      </w:txbxContent>
                    </wps:txbx>
                    <wps:bodyPr lIns="0" tIns="0" rIns="0" bIns="0" upright="1"/>
                  </wps:wsp>
                </a:graphicData>
              </a:graphic>
            </wp:anchor>
          </w:drawing>
        </mc:Choice>
        <mc:Fallback>
          <w:pict>
            <v:shape id="文本框 45" o:spid="_x0000_s1026" o:spt="202" type="#_x0000_t202" style="position:absolute;left:0pt;margin-left:406.45pt;margin-top:534.2pt;height:11.15pt;width:29.1pt;mso-position-horizontal-relative:page;mso-position-vertical-relative:page;z-index:-263677952;mso-width-relative:page;mso-height-relative:page;" filled="f" stroked="f" coordsize="21600,21600" o:gfxdata="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tyMHaAAAADQEAAA8AAAAA&#10;AAAAAQAgAAAAIgAAAGRycy9kb3ducmV2LnhtbFBLAQIUABQAAAAIAIdO4kC3h5wUoAEAACQDAAAO&#10;AAAAAAAAAAEAIAAAACkBAABkcnMvZTJvRG9jLnhtbFBLBQYAAAAABgAGAFkBAAA7BQAAAAA=&#10;">
              <v:fill on="f" focussize="0,0"/>
              <v:stroke on="f"/>
              <v:imagedata o:title=""/>
              <o:lock v:ext="edit" aspectratio="f"/>
              <v:textbox inset="0mm,0mm,0mm,0mm">
                <w:txbxContent>
                  <w:p>
                    <w:pPr>
                      <w:spacing w:line="222" w:lineRule="exact"/>
                      <w:ind w:left="20"/>
                      <w:rPr>
                        <w:sz w:val="18"/>
                        <w:lang w:val="en-US"/>
                      </w:rPr>
                    </w:pPr>
                    <w:r>
                      <w:rPr>
                        <w:spacing w:val="1"/>
                        <w:sz w:val="18"/>
                      </w:rPr>
                      <w:t xml:space="preserve">- </w:t>
                    </w:r>
                    <w:r>
                      <w:rPr>
                        <w:rFonts w:hint="eastAsia"/>
                        <w:spacing w:val="-2"/>
                        <w:sz w:val="18"/>
                        <w:lang w:val="en-US"/>
                      </w:rPr>
                      <w:t>35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39552" behindDoc="1" locked="0" layoutInCell="1" allowOverlap="1">
              <wp:simplePos x="0" y="0"/>
              <wp:positionH relativeFrom="page">
                <wp:posOffset>1092200</wp:posOffset>
              </wp:positionH>
              <wp:positionV relativeFrom="page">
                <wp:posOffset>87630</wp:posOffset>
              </wp:positionV>
              <wp:extent cx="5265420" cy="121920"/>
              <wp:effectExtent l="0" t="0" r="0" b="0"/>
              <wp:wrapNone/>
              <wp:docPr id="7" name="文本框 46"/>
              <wp:cNvGraphicFramePr/>
              <a:graphic xmlns:a="http://schemas.openxmlformats.org/drawingml/2006/main">
                <a:graphicData uri="http://schemas.microsoft.com/office/word/2010/wordprocessingShape">
                  <wps:wsp>
                    <wps:cNvSpPr txBox="1"/>
                    <wps:spPr>
                      <a:xfrm>
                        <a:off x="0" y="0"/>
                        <a:ext cx="5265420" cy="121920"/>
                      </a:xfrm>
                      <a:prstGeom prst="rect">
                        <a:avLst/>
                      </a:prstGeom>
                      <a:noFill/>
                      <a:ln>
                        <a:noFill/>
                      </a:ln>
                    </wps:spPr>
                    <wps:txbx>
                      <w:txbxContent>
                        <w:p>
                          <w:pPr>
                            <w:spacing w:line="191" w:lineRule="exact"/>
                            <w:rPr>
                              <w:sz w:val="15"/>
                            </w:rPr>
                          </w:pPr>
                        </w:p>
                      </w:txbxContent>
                    </wps:txbx>
                    <wps:bodyPr lIns="0" tIns="0" rIns="0" bIns="0" upright="1"/>
                  </wps:wsp>
                </a:graphicData>
              </a:graphic>
            </wp:anchor>
          </w:drawing>
        </mc:Choice>
        <mc:Fallback>
          <w:pict>
            <v:shape id="文本框 46" o:spid="_x0000_s1026" o:spt="202" type="#_x0000_t202" style="position:absolute;left:0pt;margin-left:86pt;margin-top:6.9pt;height:9.6pt;width:414.6pt;mso-position-horizontal-relative:page;mso-position-vertical-relative:page;z-index:-263676928;mso-width-relative:page;mso-height-relative:page;" filled="f" stroked="f" coordsize="21600,21600" o:gfxdata="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oH8T82AAAAAoBAAAPAAAAAAAA&#10;AAEAIAAAACIAAABkcnMvZG93bnJldi54bWxQSwECFAAUAAAACACHTuJAvwNObqABAAAlAwAADgAA&#10;AAAAAAABACAAAAAnAQAAZHJzL2Uyb0RvYy54bWxQSwUGAAAAAAYABgBZAQAAOQUAAAAA&#10;">
              <v:fill on="f" focussize="0,0"/>
              <v:stroke on="f"/>
              <v:imagedata o:title=""/>
              <o:lock v:ext="edit" aspectratio="f"/>
              <v:textbox inset="0mm,0mm,0mm,0mm">
                <w:txbxContent>
                  <w:p>
                    <w:pPr>
                      <w:spacing w:line="191" w:lineRule="exact"/>
                      <w:rPr>
                        <w:sz w:val="15"/>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45696" behindDoc="1" locked="0" layoutInCell="1" allowOverlap="1">
              <wp:simplePos x="0" y="0"/>
              <wp:positionH relativeFrom="page">
                <wp:posOffset>1092200</wp:posOffset>
              </wp:positionH>
              <wp:positionV relativeFrom="page">
                <wp:posOffset>87630</wp:posOffset>
              </wp:positionV>
              <wp:extent cx="5265420" cy="121920"/>
              <wp:effectExtent l="0" t="0" r="0" b="0"/>
              <wp:wrapNone/>
              <wp:docPr id="34" name="文本框 49"/>
              <wp:cNvGraphicFramePr/>
              <a:graphic xmlns:a="http://schemas.openxmlformats.org/drawingml/2006/main">
                <a:graphicData uri="http://schemas.microsoft.com/office/word/2010/wordprocessingShape">
                  <wps:wsp>
                    <wps:cNvSpPr txBox="1"/>
                    <wps:spPr>
                      <a:xfrm>
                        <a:off x="0" y="0"/>
                        <a:ext cx="5265420" cy="121920"/>
                      </a:xfrm>
                      <a:prstGeom prst="rect">
                        <a:avLst/>
                      </a:prstGeom>
                      <a:noFill/>
                      <a:ln>
                        <a:noFill/>
                      </a:ln>
                    </wps:spPr>
                    <wps:txbx>
                      <w:txbxContent>
                        <w:p>
                          <w:pPr>
                            <w:spacing w:before="0" w:line="191" w:lineRule="exact"/>
                            <w:ind w:right="0"/>
                            <w:jc w:val="left"/>
                            <w:rPr>
                              <w:sz w:val="15"/>
                            </w:rPr>
                          </w:pPr>
                        </w:p>
                      </w:txbxContent>
                    </wps:txbx>
                    <wps:bodyPr lIns="0" tIns="0" rIns="0" bIns="0" upright="1"/>
                  </wps:wsp>
                </a:graphicData>
              </a:graphic>
            </wp:anchor>
          </w:drawing>
        </mc:Choice>
        <mc:Fallback>
          <w:pict>
            <v:shape id="文本框 49" o:spid="_x0000_s1026" o:spt="202" type="#_x0000_t202" style="position:absolute;left:0pt;margin-left:86pt;margin-top:6.9pt;height:9.6pt;width:414.6pt;mso-position-horizontal-relative:page;mso-position-vertical-relative:page;z-index:-263670784;mso-width-relative:page;mso-height-relative:page;" filled="f" stroked="f" coordsize="21600,21600" o:gfxdata="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oH8T82AAAAAoBAAAPAAAAAAAA&#10;AAEAIAAAACIAAABkcnMvZG93bnJldi54bWxQSwECFAAUAAAACACHTuJA5QxZdaABAAAmAwAADgAA&#10;AAAAAAABACAAAAAnAQAAZHJzL2Uyb0RvYy54bWxQSwUGAAAAAAYABgBZAQAAOQUAAAAA&#10;">
              <v:fill on="f" focussize="0,0"/>
              <v:stroke on="f"/>
              <v:imagedata o:title=""/>
              <o:lock v:ext="edit" aspectratio="f"/>
              <v:textbox inset="0mm,0mm,0mm,0mm">
                <w:txbxContent>
                  <w:p>
                    <w:pPr>
                      <w:spacing w:before="0" w:line="191" w:lineRule="exact"/>
                      <w:ind w:right="0"/>
                      <w:jc w:val="left"/>
                      <w:rPr>
                        <w:sz w:val="15"/>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39645696" behindDoc="1" locked="0" layoutInCell="1" allowOverlap="1">
              <wp:simplePos x="0" y="0"/>
              <wp:positionH relativeFrom="page">
                <wp:posOffset>775335</wp:posOffset>
              </wp:positionH>
              <wp:positionV relativeFrom="page">
                <wp:posOffset>87630</wp:posOffset>
              </wp:positionV>
              <wp:extent cx="5265420" cy="121920"/>
              <wp:effectExtent l="0" t="0" r="0" b="0"/>
              <wp:wrapNone/>
              <wp:docPr id="13" name="文本框 52"/>
              <wp:cNvGraphicFramePr/>
              <a:graphic xmlns:a="http://schemas.openxmlformats.org/drawingml/2006/main">
                <a:graphicData uri="http://schemas.microsoft.com/office/word/2010/wordprocessingShape">
                  <wps:wsp>
                    <wps:cNvSpPr txBox="1"/>
                    <wps:spPr>
                      <a:xfrm>
                        <a:off x="0" y="0"/>
                        <a:ext cx="5265420" cy="121920"/>
                      </a:xfrm>
                      <a:prstGeom prst="rect">
                        <a:avLst/>
                      </a:prstGeom>
                      <a:noFill/>
                      <a:ln>
                        <a:noFill/>
                      </a:ln>
                    </wps:spPr>
                    <wps:txbx>
                      <w:txbxContent>
                        <w:p>
                          <w:pPr>
                            <w:spacing w:line="191" w:lineRule="exact"/>
                            <w:rPr>
                              <w:sz w:val="15"/>
                            </w:rPr>
                          </w:pPr>
                        </w:p>
                      </w:txbxContent>
                    </wps:txbx>
                    <wps:bodyPr lIns="0" tIns="0" rIns="0" bIns="0" upright="1"/>
                  </wps:wsp>
                </a:graphicData>
              </a:graphic>
            </wp:anchor>
          </w:drawing>
        </mc:Choice>
        <mc:Fallback>
          <w:pict>
            <v:shape id="文本框 52" o:spid="_x0000_s1026" o:spt="202" type="#_x0000_t202" style="position:absolute;left:0pt;margin-left:61.05pt;margin-top:6.9pt;height:9.6pt;width:414.6pt;mso-position-horizontal-relative:page;mso-position-vertical-relative:page;z-index:-263670784;mso-width-relative:page;mso-height-relative:page;" filled="f" stroked="f" coordsize="21600,21600" o:gfxdata="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rOSIHXAAAACQEAAA8AAAAAAAAA&#10;AQAgAAAAIgAAAGRycy9kb3ducmV2LnhtbFBLAQIUABQAAAAIAIdO4kD3LU0JoAEAACYDAAAOAAAA&#10;AAAAAAEAIAAAACYBAABkcnMvZTJvRG9jLnhtbFBLBQYAAAAABgAGAFkBAAA4BQAAAAA=&#10;">
              <v:fill on="f" focussize="0,0"/>
              <v:stroke on="f"/>
              <v:imagedata o:title=""/>
              <o:lock v:ext="edit" aspectratio="f"/>
              <v:textbox inset="0mm,0mm,0mm,0mm">
                <w:txbxContent>
                  <w:p>
                    <w:pPr>
                      <w:spacing w:line="191" w:lineRule="exact"/>
                      <w:rPr>
                        <w:sz w:val="15"/>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
      <w:numFmt w:val="decimal"/>
      <w:lvlText w:val="%1"/>
      <w:lvlJc w:val="left"/>
      <w:pPr>
        <w:ind w:left="998" w:hanging="318"/>
        <w:jc w:val="left"/>
      </w:pPr>
      <w:rPr>
        <w:rFonts w:hint="default"/>
        <w:lang w:val="zh-CN" w:eastAsia="zh-CN" w:bidi="zh-CN"/>
      </w:rPr>
    </w:lvl>
    <w:lvl w:ilvl="1" w:tentative="0">
      <w:start w:val="2"/>
      <w:numFmt w:val="decimal"/>
      <w:lvlText w:val="%1.%2"/>
      <w:lvlJc w:val="left"/>
      <w:pPr>
        <w:ind w:left="998" w:hanging="318"/>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739" w:hanging="318"/>
      </w:pPr>
      <w:rPr>
        <w:rFonts w:hint="default"/>
        <w:lang w:val="zh-CN" w:eastAsia="zh-CN" w:bidi="zh-CN"/>
      </w:rPr>
    </w:lvl>
    <w:lvl w:ilvl="3" w:tentative="0">
      <w:start w:val="0"/>
      <w:numFmt w:val="bullet"/>
      <w:lvlText w:val="•"/>
      <w:lvlJc w:val="left"/>
      <w:pPr>
        <w:ind w:left="3609" w:hanging="318"/>
      </w:pPr>
      <w:rPr>
        <w:rFonts w:hint="default"/>
        <w:lang w:val="zh-CN" w:eastAsia="zh-CN" w:bidi="zh-CN"/>
      </w:rPr>
    </w:lvl>
    <w:lvl w:ilvl="4" w:tentative="0">
      <w:start w:val="0"/>
      <w:numFmt w:val="bullet"/>
      <w:lvlText w:val="•"/>
      <w:lvlJc w:val="left"/>
      <w:pPr>
        <w:ind w:left="4479" w:hanging="318"/>
      </w:pPr>
      <w:rPr>
        <w:rFonts w:hint="default"/>
        <w:lang w:val="zh-CN" w:eastAsia="zh-CN" w:bidi="zh-CN"/>
      </w:rPr>
    </w:lvl>
    <w:lvl w:ilvl="5" w:tentative="0">
      <w:start w:val="0"/>
      <w:numFmt w:val="bullet"/>
      <w:lvlText w:val="•"/>
      <w:lvlJc w:val="left"/>
      <w:pPr>
        <w:ind w:left="5349" w:hanging="318"/>
      </w:pPr>
      <w:rPr>
        <w:rFonts w:hint="default"/>
        <w:lang w:val="zh-CN" w:eastAsia="zh-CN" w:bidi="zh-CN"/>
      </w:rPr>
    </w:lvl>
    <w:lvl w:ilvl="6" w:tentative="0">
      <w:start w:val="0"/>
      <w:numFmt w:val="bullet"/>
      <w:lvlText w:val="•"/>
      <w:lvlJc w:val="left"/>
      <w:pPr>
        <w:ind w:left="6219" w:hanging="318"/>
      </w:pPr>
      <w:rPr>
        <w:rFonts w:hint="default"/>
        <w:lang w:val="zh-CN" w:eastAsia="zh-CN" w:bidi="zh-CN"/>
      </w:rPr>
    </w:lvl>
    <w:lvl w:ilvl="7" w:tentative="0">
      <w:start w:val="0"/>
      <w:numFmt w:val="bullet"/>
      <w:lvlText w:val="•"/>
      <w:lvlJc w:val="left"/>
      <w:pPr>
        <w:ind w:left="7089" w:hanging="318"/>
      </w:pPr>
      <w:rPr>
        <w:rFonts w:hint="default"/>
        <w:lang w:val="zh-CN" w:eastAsia="zh-CN" w:bidi="zh-CN"/>
      </w:rPr>
    </w:lvl>
    <w:lvl w:ilvl="8" w:tentative="0">
      <w:start w:val="0"/>
      <w:numFmt w:val="bullet"/>
      <w:lvlText w:val="•"/>
      <w:lvlJc w:val="left"/>
      <w:pPr>
        <w:ind w:left="7959" w:hanging="318"/>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03" w:hanging="529"/>
      </w:pPr>
      <w:rPr>
        <w:rFonts w:hint="default"/>
        <w:lang w:val="zh-CN" w:eastAsia="zh-CN" w:bidi="zh-CN"/>
      </w:rPr>
    </w:lvl>
    <w:lvl w:ilvl="2" w:tentative="0">
      <w:start w:val="0"/>
      <w:numFmt w:val="bullet"/>
      <w:lvlText w:val="•"/>
      <w:lvlJc w:val="left"/>
      <w:pPr>
        <w:ind w:left="2147" w:hanging="529"/>
      </w:pPr>
      <w:rPr>
        <w:rFonts w:hint="default"/>
        <w:lang w:val="zh-CN" w:eastAsia="zh-CN" w:bidi="zh-CN"/>
      </w:rPr>
    </w:lvl>
    <w:lvl w:ilvl="3" w:tentative="0">
      <w:start w:val="0"/>
      <w:numFmt w:val="bullet"/>
      <w:lvlText w:val="•"/>
      <w:lvlJc w:val="left"/>
      <w:pPr>
        <w:ind w:left="3091" w:hanging="529"/>
      </w:pPr>
      <w:rPr>
        <w:rFonts w:hint="default"/>
        <w:lang w:val="zh-CN" w:eastAsia="zh-CN" w:bidi="zh-CN"/>
      </w:rPr>
    </w:lvl>
    <w:lvl w:ilvl="4" w:tentative="0">
      <w:start w:val="0"/>
      <w:numFmt w:val="bullet"/>
      <w:lvlText w:val="•"/>
      <w:lvlJc w:val="left"/>
      <w:pPr>
        <w:ind w:left="4035" w:hanging="529"/>
      </w:pPr>
      <w:rPr>
        <w:rFonts w:hint="default"/>
        <w:lang w:val="zh-CN" w:eastAsia="zh-CN" w:bidi="zh-CN"/>
      </w:rPr>
    </w:lvl>
    <w:lvl w:ilvl="5" w:tentative="0">
      <w:start w:val="0"/>
      <w:numFmt w:val="bullet"/>
      <w:lvlText w:val="•"/>
      <w:lvlJc w:val="left"/>
      <w:pPr>
        <w:ind w:left="4979" w:hanging="529"/>
      </w:pPr>
      <w:rPr>
        <w:rFonts w:hint="default"/>
        <w:lang w:val="zh-CN" w:eastAsia="zh-CN" w:bidi="zh-CN"/>
      </w:rPr>
    </w:lvl>
    <w:lvl w:ilvl="6" w:tentative="0">
      <w:start w:val="0"/>
      <w:numFmt w:val="bullet"/>
      <w:lvlText w:val="•"/>
      <w:lvlJc w:val="left"/>
      <w:pPr>
        <w:ind w:left="5923" w:hanging="529"/>
      </w:pPr>
      <w:rPr>
        <w:rFonts w:hint="default"/>
        <w:lang w:val="zh-CN" w:eastAsia="zh-CN" w:bidi="zh-CN"/>
      </w:rPr>
    </w:lvl>
    <w:lvl w:ilvl="7" w:tentative="0">
      <w:start w:val="0"/>
      <w:numFmt w:val="bullet"/>
      <w:lvlText w:val="•"/>
      <w:lvlJc w:val="left"/>
      <w:pPr>
        <w:ind w:left="6867" w:hanging="529"/>
      </w:pPr>
      <w:rPr>
        <w:rFonts w:hint="default"/>
        <w:lang w:val="zh-CN" w:eastAsia="zh-CN" w:bidi="zh-CN"/>
      </w:rPr>
    </w:lvl>
    <w:lvl w:ilvl="8" w:tentative="0">
      <w:start w:val="0"/>
      <w:numFmt w:val="bullet"/>
      <w:lvlText w:val="•"/>
      <w:lvlJc w:val="left"/>
      <w:pPr>
        <w:ind w:left="7811" w:hanging="529"/>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9" w:hanging="529"/>
      </w:pPr>
      <w:rPr>
        <w:rFonts w:hint="default"/>
        <w:lang w:val="zh-CN" w:eastAsia="zh-CN" w:bidi="zh-CN"/>
      </w:rPr>
    </w:lvl>
    <w:lvl w:ilvl="2" w:tentative="0">
      <w:start w:val="0"/>
      <w:numFmt w:val="bullet"/>
      <w:lvlText w:val="•"/>
      <w:lvlJc w:val="left"/>
      <w:pPr>
        <w:ind w:left="2899" w:hanging="529"/>
      </w:pPr>
      <w:rPr>
        <w:rFonts w:hint="default"/>
        <w:lang w:val="zh-CN" w:eastAsia="zh-CN" w:bidi="zh-CN"/>
      </w:rPr>
    </w:lvl>
    <w:lvl w:ilvl="3" w:tentative="0">
      <w:start w:val="0"/>
      <w:numFmt w:val="bullet"/>
      <w:lvlText w:val="•"/>
      <w:lvlJc w:val="left"/>
      <w:pPr>
        <w:ind w:left="3749" w:hanging="529"/>
      </w:pPr>
      <w:rPr>
        <w:rFonts w:hint="default"/>
        <w:lang w:val="zh-CN" w:eastAsia="zh-CN" w:bidi="zh-CN"/>
      </w:rPr>
    </w:lvl>
    <w:lvl w:ilvl="4" w:tentative="0">
      <w:start w:val="0"/>
      <w:numFmt w:val="bullet"/>
      <w:lvlText w:val="•"/>
      <w:lvlJc w:val="left"/>
      <w:pPr>
        <w:ind w:left="4599" w:hanging="529"/>
      </w:pPr>
      <w:rPr>
        <w:rFonts w:hint="default"/>
        <w:lang w:val="zh-CN" w:eastAsia="zh-CN" w:bidi="zh-CN"/>
      </w:rPr>
    </w:lvl>
    <w:lvl w:ilvl="5" w:tentative="0">
      <w:start w:val="0"/>
      <w:numFmt w:val="bullet"/>
      <w:lvlText w:val="•"/>
      <w:lvlJc w:val="left"/>
      <w:pPr>
        <w:ind w:left="5449" w:hanging="529"/>
      </w:pPr>
      <w:rPr>
        <w:rFonts w:hint="default"/>
        <w:lang w:val="zh-CN" w:eastAsia="zh-CN" w:bidi="zh-CN"/>
      </w:rPr>
    </w:lvl>
    <w:lvl w:ilvl="6" w:tentative="0">
      <w:start w:val="0"/>
      <w:numFmt w:val="bullet"/>
      <w:lvlText w:val="•"/>
      <w:lvlJc w:val="left"/>
      <w:pPr>
        <w:ind w:left="6299" w:hanging="529"/>
      </w:pPr>
      <w:rPr>
        <w:rFonts w:hint="default"/>
        <w:lang w:val="zh-CN" w:eastAsia="zh-CN" w:bidi="zh-CN"/>
      </w:rPr>
    </w:lvl>
    <w:lvl w:ilvl="7" w:tentative="0">
      <w:start w:val="0"/>
      <w:numFmt w:val="bullet"/>
      <w:lvlText w:val="•"/>
      <w:lvlJc w:val="left"/>
      <w:pPr>
        <w:ind w:left="7149" w:hanging="529"/>
      </w:pPr>
      <w:rPr>
        <w:rFonts w:hint="default"/>
        <w:lang w:val="zh-CN" w:eastAsia="zh-CN" w:bidi="zh-CN"/>
      </w:rPr>
    </w:lvl>
    <w:lvl w:ilvl="8" w:tentative="0">
      <w:start w:val="0"/>
      <w:numFmt w:val="bullet"/>
      <w:lvlText w:val="•"/>
      <w:lvlJc w:val="left"/>
      <w:pPr>
        <w:ind w:left="7999" w:hanging="529"/>
      </w:pPr>
      <w:rPr>
        <w:rFonts w:hint="default"/>
        <w:lang w:val="zh-CN" w:eastAsia="zh-CN" w:bidi="zh-CN"/>
      </w:rPr>
    </w:lvl>
  </w:abstractNum>
  <w:abstractNum w:abstractNumId="3">
    <w:nsid w:val="BE923771"/>
    <w:multiLevelType w:val="multilevel"/>
    <w:tmpl w:val="BE923771"/>
    <w:lvl w:ilvl="0" w:tentative="0">
      <w:start w:val="2"/>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9" w:hanging="529"/>
      </w:pPr>
      <w:rPr>
        <w:rFonts w:hint="default"/>
        <w:lang w:val="zh-CN" w:eastAsia="zh-CN" w:bidi="zh-CN"/>
      </w:rPr>
    </w:lvl>
    <w:lvl w:ilvl="2" w:tentative="0">
      <w:start w:val="0"/>
      <w:numFmt w:val="bullet"/>
      <w:lvlText w:val="•"/>
      <w:lvlJc w:val="left"/>
      <w:pPr>
        <w:ind w:left="2899" w:hanging="529"/>
      </w:pPr>
      <w:rPr>
        <w:rFonts w:hint="default"/>
        <w:lang w:val="zh-CN" w:eastAsia="zh-CN" w:bidi="zh-CN"/>
      </w:rPr>
    </w:lvl>
    <w:lvl w:ilvl="3" w:tentative="0">
      <w:start w:val="0"/>
      <w:numFmt w:val="bullet"/>
      <w:lvlText w:val="•"/>
      <w:lvlJc w:val="left"/>
      <w:pPr>
        <w:ind w:left="3749" w:hanging="529"/>
      </w:pPr>
      <w:rPr>
        <w:rFonts w:hint="default"/>
        <w:lang w:val="zh-CN" w:eastAsia="zh-CN" w:bidi="zh-CN"/>
      </w:rPr>
    </w:lvl>
    <w:lvl w:ilvl="4" w:tentative="0">
      <w:start w:val="0"/>
      <w:numFmt w:val="bullet"/>
      <w:lvlText w:val="•"/>
      <w:lvlJc w:val="left"/>
      <w:pPr>
        <w:ind w:left="4599" w:hanging="529"/>
      </w:pPr>
      <w:rPr>
        <w:rFonts w:hint="default"/>
        <w:lang w:val="zh-CN" w:eastAsia="zh-CN" w:bidi="zh-CN"/>
      </w:rPr>
    </w:lvl>
    <w:lvl w:ilvl="5" w:tentative="0">
      <w:start w:val="0"/>
      <w:numFmt w:val="bullet"/>
      <w:lvlText w:val="•"/>
      <w:lvlJc w:val="left"/>
      <w:pPr>
        <w:ind w:left="5449" w:hanging="529"/>
      </w:pPr>
      <w:rPr>
        <w:rFonts w:hint="default"/>
        <w:lang w:val="zh-CN" w:eastAsia="zh-CN" w:bidi="zh-CN"/>
      </w:rPr>
    </w:lvl>
    <w:lvl w:ilvl="6" w:tentative="0">
      <w:start w:val="0"/>
      <w:numFmt w:val="bullet"/>
      <w:lvlText w:val="•"/>
      <w:lvlJc w:val="left"/>
      <w:pPr>
        <w:ind w:left="6299" w:hanging="529"/>
      </w:pPr>
      <w:rPr>
        <w:rFonts w:hint="default"/>
        <w:lang w:val="zh-CN" w:eastAsia="zh-CN" w:bidi="zh-CN"/>
      </w:rPr>
    </w:lvl>
    <w:lvl w:ilvl="7" w:tentative="0">
      <w:start w:val="0"/>
      <w:numFmt w:val="bullet"/>
      <w:lvlText w:val="•"/>
      <w:lvlJc w:val="left"/>
      <w:pPr>
        <w:ind w:left="7149" w:hanging="529"/>
      </w:pPr>
      <w:rPr>
        <w:rFonts w:hint="default"/>
        <w:lang w:val="zh-CN" w:eastAsia="zh-CN" w:bidi="zh-CN"/>
      </w:rPr>
    </w:lvl>
    <w:lvl w:ilvl="8" w:tentative="0">
      <w:start w:val="0"/>
      <w:numFmt w:val="bullet"/>
      <w:lvlText w:val="•"/>
      <w:lvlJc w:val="left"/>
      <w:pPr>
        <w:ind w:left="7999" w:hanging="529"/>
      </w:pPr>
      <w:rPr>
        <w:rFonts w:hint="default"/>
        <w:lang w:val="zh-CN" w:eastAsia="zh-CN" w:bidi="zh-CN"/>
      </w:rPr>
    </w:lvl>
  </w:abstractNum>
  <w:abstractNum w:abstractNumId="4">
    <w:nsid w:val="D972B54B"/>
    <w:multiLevelType w:val="singleLevel"/>
    <w:tmpl w:val="D972B54B"/>
    <w:lvl w:ilvl="0" w:tentative="0">
      <w:start w:val="1"/>
      <w:numFmt w:val="decimal"/>
      <w:suff w:val="nothing"/>
      <w:lvlText w:val="%1、"/>
      <w:lvlJc w:val="left"/>
    </w:lvl>
  </w:abstractNum>
  <w:abstractNum w:abstractNumId="5">
    <w:nsid w:val="01AC4011"/>
    <w:multiLevelType w:val="multilevel"/>
    <w:tmpl w:val="01AC4011"/>
    <w:lvl w:ilvl="0" w:tentative="0">
      <w:start w:val="1"/>
      <w:numFmt w:val="decimal"/>
      <w:lvlText w:val="（%1）"/>
      <w:lvlJc w:val="left"/>
      <w:pPr>
        <w:ind w:left="212" w:hanging="529"/>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1226" w:hanging="529"/>
      </w:pPr>
      <w:rPr>
        <w:rFonts w:hint="default"/>
        <w:lang w:val="zh-CN" w:eastAsia="zh-CN" w:bidi="zh-CN"/>
      </w:rPr>
    </w:lvl>
    <w:lvl w:ilvl="2" w:tentative="0">
      <w:start w:val="0"/>
      <w:numFmt w:val="bullet"/>
      <w:lvlText w:val="•"/>
      <w:lvlJc w:val="left"/>
      <w:pPr>
        <w:ind w:left="2233" w:hanging="529"/>
      </w:pPr>
      <w:rPr>
        <w:rFonts w:hint="default"/>
        <w:lang w:val="zh-CN" w:eastAsia="zh-CN" w:bidi="zh-CN"/>
      </w:rPr>
    </w:lvl>
    <w:lvl w:ilvl="3" w:tentative="0">
      <w:start w:val="0"/>
      <w:numFmt w:val="bullet"/>
      <w:lvlText w:val="•"/>
      <w:lvlJc w:val="left"/>
      <w:pPr>
        <w:ind w:left="3239" w:hanging="529"/>
      </w:pPr>
      <w:rPr>
        <w:rFonts w:hint="default"/>
        <w:lang w:val="zh-CN" w:eastAsia="zh-CN" w:bidi="zh-CN"/>
      </w:rPr>
    </w:lvl>
    <w:lvl w:ilvl="4" w:tentative="0">
      <w:start w:val="0"/>
      <w:numFmt w:val="bullet"/>
      <w:lvlText w:val="•"/>
      <w:lvlJc w:val="left"/>
      <w:pPr>
        <w:ind w:left="4246" w:hanging="529"/>
      </w:pPr>
      <w:rPr>
        <w:rFonts w:hint="default"/>
        <w:lang w:val="zh-CN" w:eastAsia="zh-CN" w:bidi="zh-CN"/>
      </w:rPr>
    </w:lvl>
    <w:lvl w:ilvl="5" w:tentative="0">
      <w:start w:val="0"/>
      <w:numFmt w:val="bullet"/>
      <w:lvlText w:val="•"/>
      <w:lvlJc w:val="left"/>
      <w:pPr>
        <w:ind w:left="5253" w:hanging="529"/>
      </w:pPr>
      <w:rPr>
        <w:rFonts w:hint="default"/>
        <w:lang w:val="zh-CN" w:eastAsia="zh-CN" w:bidi="zh-CN"/>
      </w:rPr>
    </w:lvl>
    <w:lvl w:ilvl="6" w:tentative="0">
      <w:start w:val="0"/>
      <w:numFmt w:val="bullet"/>
      <w:lvlText w:val="•"/>
      <w:lvlJc w:val="left"/>
      <w:pPr>
        <w:ind w:left="6259" w:hanging="529"/>
      </w:pPr>
      <w:rPr>
        <w:rFonts w:hint="default"/>
        <w:lang w:val="zh-CN" w:eastAsia="zh-CN" w:bidi="zh-CN"/>
      </w:rPr>
    </w:lvl>
    <w:lvl w:ilvl="7" w:tentative="0">
      <w:start w:val="0"/>
      <w:numFmt w:val="bullet"/>
      <w:lvlText w:val="•"/>
      <w:lvlJc w:val="left"/>
      <w:pPr>
        <w:ind w:left="7266" w:hanging="529"/>
      </w:pPr>
      <w:rPr>
        <w:rFonts w:hint="default"/>
        <w:lang w:val="zh-CN" w:eastAsia="zh-CN" w:bidi="zh-CN"/>
      </w:rPr>
    </w:lvl>
    <w:lvl w:ilvl="8" w:tentative="0">
      <w:start w:val="0"/>
      <w:numFmt w:val="bullet"/>
      <w:lvlText w:val="•"/>
      <w:lvlJc w:val="left"/>
      <w:pPr>
        <w:ind w:left="8273" w:hanging="529"/>
      </w:pPr>
      <w:rPr>
        <w:rFonts w:hint="default"/>
        <w:lang w:val="zh-CN" w:eastAsia="zh-CN" w:bidi="zh-CN"/>
      </w:rPr>
    </w:lvl>
  </w:abstractNum>
  <w:abstractNum w:abstractNumId="6">
    <w:nsid w:val="03FB5E4F"/>
    <w:multiLevelType w:val="multilevel"/>
    <w:tmpl w:val="03FB5E4F"/>
    <w:lvl w:ilvl="0" w:tentative="0">
      <w:start w:val="4"/>
      <w:numFmt w:val="decimal"/>
      <w:lvlText w:val="%1"/>
      <w:lvlJc w:val="left"/>
      <w:pPr>
        <w:ind w:left="638" w:hanging="426"/>
      </w:pPr>
      <w:rPr>
        <w:rFonts w:hint="default"/>
        <w:lang w:val="zh-CN" w:eastAsia="zh-CN" w:bidi="zh-CN"/>
      </w:rPr>
    </w:lvl>
    <w:lvl w:ilvl="1" w:tentative="0">
      <w:start w:val="3"/>
      <w:numFmt w:val="decimal"/>
      <w:lvlText w:val="%1.%2"/>
      <w:lvlJc w:val="left"/>
      <w:pPr>
        <w:ind w:left="638" w:hanging="42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12" w:hanging="588"/>
      </w:pPr>
      <w:rPr>
        <w:rFonts w:hint="default" w:ascii="宋体" w:hAnsi="宋体" w:eastAsia="宋体" w:cs="宋体"/>
        <w:w w:val="100"/>
        <w:sz w:val="21"/>
        <w:szCs w:val="21"/>
        <w:lang w:val="zh-CN" w:eastAsia="zh-CN" w:bidi="zh-CN"/>
      </w:rPr>
    </w:lvl>
    <w:lvl w:ilvl="3" w:tentative="0">
      <w:start w:val="0"/>
      <w:numFmt w:val="bullet"/>
      <w:lvlText w:val="•"/>
      <w:lvlJc w:val="left"/>
      <w:pPr>
        <w:ind w:left="2783" w:hanging="588"/>
      </w:pPr>
      <w:rPr>
        <w:rFonts w:hint="default"/>
        <w:lang w:val="zh-CN" w:eastAsia="zh-CN" w:bidi="zh-CN"/>
      </w:rPr>
    </w:lvl>
    <w:lvl w:ilvl="4" w:tentative="0">
      <w:start w:val="0"/>
      <w:numFmt w:val="bullet"/>
      <w:lvlText w:val="•"/>
      <w:lvlJc w:val="left"/>
      <w:pPr>
        <w:ind w:left="3855" w:hanging="588"/>
      </w:pPr>
      <w:rPr>
        <w:rFonts w:hint="default"/>
        <w:lang w:val="zh-CN" w:eastAsia="zh-CN" w:bidi="zh-CN"/>
      </w:rPr>
    </w:lvl>
    <w:lvl w:ilvl="5" w:tentative="0">
      <w:start w:val="0"/>
      <w:numFmt w:val="bullet"/>
      <w:lvlText w:val="•"/>
      <w:lvlJc w:val="left"/>
      <w:pPr>
        <w:ind w:left="4927" w:hanging="588"/>
      </w:pPr>
      <w:rPr>
        <w:rFonts w:hint="default"/>
        <w:lang w:val="zh-CN" w:eastAsia="zh-CN" w:bidi="zh-CN"/>
      </w:rPr>
    </w:lvl>
    <w:lvl w:ilvl="6" w:tentative="0">
      <w:start w:val="0"/>
      <w:numFmt w:val="bullet"/>
      <w:lvlText w:val="•"/>
      <w:lvlJc w:val="left"/>
      <w:pPr>
        <w:ind w:left="5999" w:hanging="588"/>
      </w:pPr>
      <w:rPr>
        <w:rFonts w:hint="default"/>
        <w:lang w:val="zh-CN" w:eastAsia="zh-CN" w:bidi="zh-CN"/>
      </w:rPr>
    </w:lvl>
    <w:lvl w:ilvl="7" w:tentative="0">
      <w:start w:val="0"/>
      <w:numFmt w:val="bullet"/>
      <w:lvlText w:val="•"/>
      <w:lvlJc w:val="left"/>
      <w:pPr>
        <w:ind w:left="7070" w:hanging="588"/>
      </w:pPr>
      <w:rPr>
        <w:rFonts w:hint="default"/>
        <w:lang w:val="zh-CN" w:eastAsia="zh-CN" w:bidi="zh-CN"/>
      </w:rPr>
    </w:lvl>
    <w:lvl w:ilvl="8" w:tentative="0">
      <w:start w:val="0"/>
      <w:numFmt w:val="bullet"/>
      <w:lvlText w:val="•"/>
      <w:lvlJc w:val="left"/>
      <w:pPr>
        <w:ind w:left="8142" w:hanging="588"/>
      </w:pPr>
      <w:rPr>
        <w:rFonts w:hint="default"/>
        <w:lang w:val="zh-CN" w:eastAsia="zh-CN" w:bidi="zh-CN"/>
      </w:rPr>
    </w:lvl>
  </w:abstractNum>
  <w:abstractNum w:abstractNumId="7">
    <w:nsid w:val="05DC6788"/>
    <w:multiLevelType w:val="multilevel"/>
    <w:tmpl w:val="05DC6788"/>
    <w:lvl w:ilvl="0" w:tentative="0">
      <w:start w:val="1"/>
      <w:numFmt w:val="decimal"/>
      <w:lvlText w:val="（%1）"/>
      <w:lvlJc w:val="left"/>
      <w:pPr>
        <w:ind w:left="238" w:hanging="527"/>
      </w:pPr>
      <w:rPr>
        <w:rFonts w:hint="default" w:ascii="宋体" w:hAnsi="宋体" w:eastAsia="宋体" w:cs="宋体"/>
        <w:spacing w:val="-32"/>
        <w:w w:val="100"/>
        <w:sz w:val="19"/>
        <w:szCs w:val="19"/>
        <w:lang w:val="zh-CN" w:eastAsia="zh-CN" w:bidi="zh-CN"/>
      </w:rPr>
    </w:lvl>
    <w:lvl w:ilvl="1" w:tentative="0">
      <w:start w:val="0"/>
      <w:numFmt w:val="bullet"/>
      <w:lvlText w:val="•"/>
      <w:lvlJc w:val="left"/>
      <w:pPr>
        <w:ind w:left="1168" w:hanging="527"/>
      </w:pPr>
      <w:rPr>
        <w:rFonts w:hint="default"/>
        <w:lang w:val="zh-CN" w:eastAsia="zh-CN" w:bidi="zh-CN"/>
      </w:rPr>
    </w:lvl>
    <w:lvl w:ilvl="2" w:tentative="0">
      <w:start w:val="0"/>
      <w:numFmt w:val="bullet"/>
      <w:lvlText w:val="•"/>
      <w:lvlJc w:val="left"/>
      <w:pPr>
        <w:ind w:left="2097" w:hanging="527"/>
      </w:pPr>
      <w:rPr>
        <w:rFonts w:hint="default"/>
        <w:lang w:val="zh-CN" w:eastAsia="zh-CN" w:bidi="zh-CN"/>
      </w:rPr>
    </w:lvl>
    <w:lvl w:ilvl="3" w:tentative="0">
      <w:start w:val="0"/>
      <w:numFmt w:val="bullet"/>
      <w:lvlText w:val="•"/>
      <w:lvlJc w:val="left"/>
      <w:pPr>
        <w:ind w:left="3025" w:hanging="527"/>
      </w:pPr>
      <w:rPr>
        <w:rFonts w:hint="default"/>
        <w:lang w:val="zh-CN" w:eastAsia="zh-CN" w:bidi="zh-CN"/>
      </w:rPr>
    </w:lvl>
    <w:lvl w:ilvl="4" w:tentative="0">
      <w:start w:val="0"/>
      <w:numFmt w:val="bullet"/>
      <w:lvlText w:val="•"/>
      <w:lvlJc w:val="left"/>
      <w:pPr>
        <w:ind w:left="3954" w:hanging="527"/>
      </w:pPr>
      <w:rPr>
        <w:rFonts w:hint="default"/>
        <w:lang w:val="zh-CN" w:eastAsia="zh-CN" w:bidi="zh-CN"/>
      </w:rPr>
    </w:lvl>
    <w:lvl w:ilvl="5" w:tentative="0">
      <w:start w:val="0"/>
      <w:numFmt w:val="bullet"/>
      <w:lvlText w:val="•"/>
      <w:lvlJc w:val="left"/>
      <w:pPr>
        <w:ind w:left="4883" w:hanging="527"/>
      </w:pPr>
      <w:rPr>
        <w:rFonts w:hint="default"/>
        <w:lang w:val="zh-CN" w:eastAsia="zh-CN" w:bidi="zh-CN"/>
      </w:rPr>
    </w:lvl>
    <w:lvl w:ilvl="6" w:tentative="0">
      <w:start w:val="0"/>
      <w:numFmt w:val="bullet"/>
      <w:lvlText w:val="•"/>
      <w:lvlJc w:val="left"/>
      <w:pPr>
        <w:ind w:left="5811" w:hanging="527"/>
      </w:pPr>
      <w:rPr>
        <w:rFonts w:hint="default"/>
        <w:lang w:val="zh-CN" w:eastAsia="zh-CN" w:bidi="zh-CN"/>
      </w:rPr>
    </w:lvl>
    <w:lvl w:ilvl="7" w:tentative="0">
      <w:start w:val="0"/>
      <w:numFmt w:val="bullet"/>
      <w:lvlText w:val="•"/>
      <w:lvlJc w:val="left"/>
      <w:pPr>
        <w:ind w:left="6740" w:hanging="527"/>
      </w:pPr>
      <w:rPr>
        <w:rFonts w:hint="default"/>
        <w:lang w:val="zh-CN" w:eastAsia="zh-CN" w:bidi="zh-CN"/>
      </w:rPr>
    </w:lvl>
    <w:lvl w:ilvl="8" w:tentative="0">
      <w:start w:val="0"/>
      <w:numFmt w:val="bullet"/>
      <w:lvlText w:val="•"/>
      <w:lvlJc w:val="left"/>
      <w:pPr>
        <w:ind w:left="7669" w:hanging="527"/>
      </w:pPr>
      <w:rPr>
        <w:rFonts w:hint="default"/>
        <w:lang w:val="zh-CN" w:eastAsia="zh-CN" w:bidi="zh-CN"/>
      </w:rPr>
    </w:lvl>
  </w:abstractNum>
  <w:abstractNum w:abstractNumId="8">
    <w:nsid w:val="06F51123"/>
    <w:multiLevelType w:val="multilevel"/>
    <w:tmpl w:val="06F51123"/>
    <w:lvl w:ilvl="0" w:tentative="0">
      <w:start w:val="18"/>
      <w:numFmt w:val="decimal"/>
      <w:lvlText w:val="%1"/>
      <w:lvlJc w:val="left"/>
      <w:pPr>
        <w:ind w:left="753" w:hanging="541"/>
      </w:pPr>
      <w:rPr>
        <w:rFonts w:hint="default"/>
        <w:lang w:val="zh-CN" w:eastAsia="zh-CN" w:bidi="zh-CN"/>
      </w:rPr>
    </w:lvl>
    <w:lvl w:ilvl="1" w:tentative="0">
      <w:start w:val="9"/>
      <w:numFmt w:val="decimal"/>
      <w:lvlText w:val="%1.%2"/>
      <w:lvlJc w:val="left"/>
      <w:pPr>
        <w:ind w:left="753" w:hanging="541"/>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3）"/>
      <w:lvlJc w:val="left"/>
      <w:pPr>
        <w:ind w:left="1162" w:hanging="529"/>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188" w:hanging="529"/>
      </w:pPr>
      <w:rPr>
        <w:rFonts w:hint="default"/>
        <w:lang w:val="zh-CN" w:eastAsia="zh-CN" w:bidi="zh-CN"/>
      </w:rPr>
    </w:lvl>
    <w:lvl w:ilvl="4" w:tentative="0">
      <w:start w:val="0"/>
      <w:numFmt w:val="bullet"/>
      <w:lvlText w:val="•"/>
      <w:lvlJc w:val="left"/>
      <w:pPr>
        <w:ind w:left="4202" w:hanging="529"/>
      </w:pPr>
      <w:rPr>
        <w:rFonts w:hint="default"/>
        <w:lang w:val="zh-CN" w:eastAsia="zh-CN" w:bidi="zh-CN"/>
      </w:rPr>
    </w:lvl>
    <w:lvl w:ilvl="5" w:tentative="0">
      <w:start w:val="0"/>
      <w:numFmt w:val="bullet"/>
      <w:lvlText w:val="•"/>
      <w:lvlJc w:val="left"/>
      <w:pPr>
        <w:ind w:left="5216" w:hanging="529"/>
      </w:pPr>
      <w:rPr>
        <w:rFonts w:hint="default"/>
        <w:lang w:val="zh-CN" w:eastAsia="zh-CN" w:bidi="zh-CN"/>
      </w:rPr>
    </w:lvl>
    <w:lvl w:ilvl="6" w:tentative="0">
      <w:start w:val="0"/>
      <w:numFmt w:val="bullet"/>
      <w:lvlText w:val="•"/>
      <w:lvlJc w:val="left"/>
      <w:pPr>
        <w:ind w:left="6230" w:hanging="529"/>
      </w:pPr>
      <w:rPr>
        <w:rFonts w:hint="default"/>
        <w:lang w:val="zh-CN" w:eastAsia="zh-CN" w:bidi="zh-CN"/>
      </w:rPr>
    </w:lvl>
    <w:lvl w:ilvl="7" w:tentative="0">
      <w:start w:val="0"/>
      <w:numFmt w:val="bullet"/>
      <w:lvlText w:val="•"/>
      <w:lvlJc w:val="left"/>
      <w:pPr>
        <w:ind w:left="7244" w:hanging="529"/>
      </w:pPr>
      <w:rPr>
        <w:rFonts w:hint="default"/>
        <w:lang w:val="zh-CN" w:eastAsia="zh-CN" w:bidi="zh-CN"/>
      </w:rPr>
    </w:lvl>
    <w:lvl w:ilvl="8" w:tentative="0">
      <w:start w:val="0"/>
      <w:numFmt w:val="bullet"/>
      <w:lvlText w:val="•"/>
      <w:lvlJc w:val="left"/>
      <w:pPr>
        <w:ind w:left="8258" w:hanging="529"/>
      </w:pPr>
      <w:rPr>
        <w:rFonts w:hint="default"/>
        <w:lang w:val="zh-CN" w:eastAsia="zh-CN" w:bidi="zh-CN"/>
      </w:rPr>
    </w:lvl>
  </w:abstractNum>
  <w:abstractNum w:abstractNumId="9">
    <w:nsid w:val="07CE1CFE"/>
    <w:multiLevelType w:val="multilevel"/>
    <w:tmpl w:val="07CE1CFE"/>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10">
    <w:nsid w:val="0D244946"/>
    <w:multiLevelType w:val="multilevel"/>
    <w:tmpl w:val="0D244946"/>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11">
    <w:nsid w:val="0D2872D9"/>
    <w:multiLevelType w:val="multilevel"/>
    <w:tmpl w:val="0D2872D9"/>
    <w:lvl w:ilvl="0" w:tentative="0">
      <w:start w:val="3"/>
      <w:numFmt w:val="decimal"/>
      <w:lvlText w:val="%1"/>
      <w:lvlJc w:val="left"/>
      <w:pPr>
        <w:ind w:left="575" w:hanging="364"/>
      </w:pPr>
      <w:rPr>
        <w:rFonts w:hint="default"/>
        <w:lang w:val="zh-CN" w:eastAsia="zh-CN" w:bidi="zh-CN"/>
      </w:rPr>
    </w:lvl>
    <w:lvl w:ilvl="1" w:tentative="0">
      <w:start w:val="1"/>
      <w:numFmt w:val="decimal"/>
      <w:lvlText w:val="%1.%2"/>
      <w:lvlJc w:val="left"/>
      <w:pPr>
        <w:ind w:left="575" w:hanging="364"/>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1162" w:hanging="529"/>
      </w:pPr>
      <w:rPr>
        <w:rFonts w:hint="default" w:ascii="宋体" w:hAnsi="宋体" w:eastAsia="宋体" w:cs="宋体"/>
        <w:w w:val="100"/>
        <w:sz w:val="19"/>
        <w:szCs w:val="19"/>
        <w:lang w:val="zh-CN" w:eastAsia="zh-CN" w:bidi="zh-CN"/>
      </w:rPr>
    </w:lvl>
    <w:lvl w:ilvl="3" w:tentative="0">
      <w:start w:val="0"/>
      <w:numFmt w:val="bullet"/>
      <w:lvlText w:val="•"/>
      <w:lvlJc w:val="left"/>
      <w:pPr>
        <w:ind w:left="3188" w:hanging="529"/>
      </w:pPr>
      <w:rPr>
        <w:rFonts w:hint="default"/>
        <w:lang w:val="zh-CN" w:eastAsia="zh-CN" w:bidi="zh-CN"/>
      </w:rPr>
    </w:lvl>
    <w:lvl w:ilvl="4" w:tentative="0">
      <w:start w:val="0"/>
      <w:numFmt w:val="bullet"/>
      <w:lvlText w:val="•"/>
      <w:lvlJc w:val="left"/>
      <w:pPr>
        <w:ind w:left="4202" w:hanging="529"/>
      </w:pPr>
      <w:rPr>
        <w:rFonts w:hint="default"/>
        <w:lang w:val="zh-CN" w:eastAsia="zh-CN" w:bidi="zh-CN"/>
      </w:rPr>
    </w:lvl>
    <w:lvl w:ilvl="5" w:tentative="0">
      <w:start w:val="0"/>
      <w:numFmt w:val="bullet"/>
      <w:lvlText w:val="•"/>
      <w:lvlJc w:val="left"/>
      <w:pPr>
        <w:ind w:left="5216" w:hanging="529"/>
      </w:pPr>
      <w:rPr>
        <w:rFonts w:hint="default"/>
        <w:lang w:val="zh-CN" w:eastAsia="zh-CN" w:bidi="zh-CN"/>
      </w:rPr>
    </w:lvl>
    <w:lvl w:ilvl="6" w:tentative="0">
      <w:start w:val="0"/>
      <w:numFmt w:val="bullet"/>
      <w:lvlText w:val="•"/>
      <w:lvlJc w:val="left"/>
      <w:pPr>
        <w:ind w:left="6230" w:hanging="529"/>
      </w:pPr>
      <w:rPr>
        <w:rFonts w:hint="default"/>
        <w:lang w:val="zh-CN" w:eastAsia="zh-CN" w:bidi="zh-CN"/>
      </w:rPr>
    </w:lvl>
    <w:lvl w:ilvl="7" w:tentative="0">
      <w:start w:val="0"/>
      <w:numFmt w:val="bullet"/>
      <w:lvlText w:val="•"/>
      <w:lvlJc w:val="left"/>
      <w:pPr>
        <w:ind w:left="7244" w:hanging="529"/>
      </w:pPr>
      <w:rPr>
        <w:rFonts w:hint="default"/>
        <w:lang w:val="zh-CN" w:eastAsia="zh-CN" w:bidi="zh-CN"/>
      </w:rPr>
    </w:lvl>
    <w:lvl w:ilvl="8" w:tentative="0">
      <w:start w:val="0"/>
      <w:numFmt w:val="bullet"/>
      <w:lvlText w:val="•"/>
      <w:lvlJc w:val="left"/>
      <w:pPr>
        <w:ind w:left="8258" w:hanging="529"/>
      </w:pPr>
      <w:rPr>
        <w:rFonts w:hint="default"/>
        <w:lang w:val="zh-CN" w:eastAsia="zh-CN" w:bidi="zh-CN"/>
      </w:rPr>
    </w:lvl>
  </w:abstractNum>
  <w:abstractNum w:abstractNumId="12">
    <w:nsid w:val="0D6C1F4E"/>
    <w:multiLevelType w:val="multilevel"/>
    <w:tmpl w:val="0D6C1F4E"/>
    <w:lvl w:ilvl="0" w:tentative="0">
      <w:start w:val="1"/>
      <w:numFmt w:val="decimal"/>
      <w:lvlText w:val="（%1）"/>
      <w:lvlJc w:val="left"/>
      <w:pPr>
        <w:ind w:left="1663" w:hanging="515"/>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2522" w:hanging="515"/>
      </w:pPr>
      <w:rPr>
        <w:rFonts w:hint="default"/>
        <w:lang w:val="zh-CN" w:eastAsia="zh-CN" w:bidi="zh-CN"/>
      </w:rPr>
    </w:lvl>
    <w:lvl w:ilvl="2" w:tentative="0">
      <w:start w:val="0"/>
      <w:numFmt w:val="bullet"/>
      <w:lvlText w:val="•"/>
      <w:lvlJc w:val="left"/>
      <w:pPr>
        <w:ind w:left="3385" w:hanging="515"/>
      </w:pPr>
      <w:rPr>
        <w:rFonts w:hint="default"/>
        <w:lang w:val="zh-CN" w:eastAsia="zh-CN" w:bidi="zh-CN"/>
      </w:rPr>
    </w:lvl>
    <w:lvl w:ilvl="3" w:tentative="0">
      <w:start w:val="0"/>
      <w:numFmt w:val="bullet"/>
      <w:lvlText w:val="•"/>
      <w:lvlJc w:val="left"/>
      <w:pPr>
        <w:ind w:left="4247" w:hanging="515"/>
      </w:pPr>
      <w:rPr>
        <w:rFonts w:hint="default"/>
        <w:lang w:val="zh-CN" w:eastAsia="zh-CN" w:bidi="zh-CN"/>
      </w:rPr>
    </w:lvl>
    <w:lvl w:ilvl="4" w:tentative="0">
      <w:start w:val="0"/>
      <w:numFmt w:val="bullet"/>
      <w:lvlText w:val="•"/>
      <w:lvlJc w:val="left"/>
      <w:pPr>
        <w:ind w:left="5110" w:hanging="515"/>
      </w:pPr>
      <w:rPr>
        <w:rFonts w:hint="default"/>
        <w:lang w:val="zh-CN" w:eastAsia="zh-CN" w:bidi="zh-CN"/>
      </w:rPr>
    </w:lvl>
    <w:lvl w:ilvl="5" w:tentative="0">
      <w:start w:val="0"/>
      <w:numFmt w:val="bullet"/>
      <w:lvlText w:val="•"/>
      <w:lvlJc w:val="left"/>
      <w:pPr>
        <w:ind w:left="5973" w:hanging="515"/>
      </w:pPr>
      <w:rPr>
        <w:rFonts w:hint="default"/>
        <w:lang w:val="zh-CN" w:eastAsia="zh-CN" w:bidi="zh-CN"/>
      </w:rPr>
    </w:lvl>
    <w:lvl w:ilvl="6" w:tentative="0">
      <w:start w:val="0"/>
      <w:numFmt w:val="bullet"/>
      <w:lvlText w:val="•"/>
      <w:lvlJc w:val="left"/>
      <w:pPr>
        <w:ind w:left="6835" w:hanging="515"/>
      </w:pPr>
      <w:rPr>
        <w:rFonts w:hint="default"/>
        <w:lang w:val="zh-CN" w:eastAsia="zh-CN" w:bidi="zh-CN"/>
      </w:rPr>
    </w:lvl>
    <w:lvl w:ilvl="7" w:tentative="0">
      <w:start w:val="0"/>
      <w:numFmt w:val="bullet"/>
      <w:lvlText w:val="•"/>
      <w:lvlJc w:val="left"/>
      <w:pPr>
        <w:ind w:left="7698" w:hanging="515"/>
      </w:pPr>
      <w:rPr>
        <w:rFonts w:hint="default"/>
        <w:lang w:val="zh-CN" w:eastAsia="zh-CN" w:bidi="zh-CN"/>
      </w:rPr>
    </w:lvl>
    <w:lvl w:ilvl="8" w:tentative="0">
      <w:start w:val="0"/>
      <w:numFmt w:val="bullet"/>
      <w:lvlText w:val="•"/>
      <w:lvlJc w:val="left"/>
      <w:pPr>
        <w:ind w:left="8561" w:hanging="515"/>
      </w:pPr>
      <w:rPr>
        <w:rFonts w:hint="default"/>
        <w:lang w:val="zh-CN" w:eastAsia="zh-CN" w:bidi="zh-CN"/>
      </w:rPr>
    </w:lvl>
  </w:abstractNum>
  <w:abstractNum w:abstractNumId="13">
    <w:nsid w:val="11B32CB5"/>
    <w:multiLevelType w:val="multilevel"/>
    <w:tmpl w:val="11B32CB5"/>
    <w:lvl w:ilvl="0" w:tentative="0">
      <w:start w:val="1"/>
      <w:numFmt w:val="decimal"/>
      <w:lvlText w:val="%1."/>
      <w:lvlJc w:val="left"/>
      <w:pPr>
        <w:ind w:left="1322" w:hanging="250"/>
      </w:pPr>
      <w:rPr>
        <w:rFonts w:hint="default" w:ascii="Times New Roman" w:hAnsi="Times New Roman" w:eastAsia="Times New Roman" w:cs="Times New Roman"/>
        <w:spacing w:val="-5"/>
        <w:w w:val="100"/>
        <w:sz w:val="21"/>
        <w:szCs w:val="21"/>
        <w:lang w:val="zh-CN" w:eastAsia="zh-CN" w:bidi="zh-CN"/>
      </w:rPr>
    </w:lvl>
    <w:lvl w:ilvl="1" w:tentative="0">
      <w:start w:val="0"/>
      <w:numFmt w:val="bullet"/>
      <w:lvlText w:val="•"/>
      <w:lvlJc w:val="left"/>
      <w:pPr>
        <w:ind w:left="2216" w:hanging="250"/>
      </w:pPr>
      <w:rPr>
        <w:rFonts w:hint="default"/>
        <w:lang w:val="zh-CN" w:eastAsia="zh-CN" w:bidi="zh-CN"/>
      </w:rPr>
    </w:lvl>
    <w:lvl w:ilvl="2" w:tentative="0">
      <w:start w:val="0"/>
      <w:numFmt w:val="bullet"/>
      <w:lvlText w:val="•"/>
      <w:lvlJc w:val="left"/>
      <w:pPr>
        <w:ind w:left="3113" w:hanging="250"/>
      </w:pPr>
      <w:rPr>
        <w:rFonts w:hint="default"/>
        <w:lang w:val="zh-CN" w:eastAsia="zh-CN" w:bidi="zh-CN"/>
      </w:rPr>
    </w:lvl>
    <w:lvl w:ilvl="3" w:tentative="0">
      <w:start w:val="0"/>
      <w:numFmt w:val="bullet"/>
      <w:lvlText w:val="•"/>
      <w:lvlJc w:val="left"/>
      <w:pPr>
        <w:ind w:left="4009" w:hanging="250"/>
      </w:pPr>
      <w:rPr>
        <w:rFonts w:hint="default"/>
        <w:lang w:val="zh-CN" w:eastAsia="zh-CN" w:bidi="zh-CN"/>
      </w:rPr>
    </w:lvl>
    <w:lvl w:ilvl="4" w:tentative="0">
      <w:start w:val="0"/>
      <w:numFmt w:val="bullet"/>
      <w:lvlText w:val="•"/>
      <w:lvlJc w:val="left"/>
      <w:pPr>
        <w:ind w:left="4906" w:hanging="250"/>
      </w:pPr>
      <w:rPr>
        <w:rFonts w:hint="default"/>
        <w:lang w:val="zh-CN" w:eastAsia="zh-CN" w:bidi="zh-CN"/>
      </w:rPr>
    </w:lvl>
    <w:lvl w:ilvl="5" w:tentative="0">
      <w:start w:val="0"/>
      <w:numFmt w:val="bullet"/>
      <w:lvlText w:val="•"/>
      <w:lvlJc w:val="left"/>
      <w:pPr>
        <w:ind w:left="5803" w:hanging="250"/>
      </w:pPr>
      <w:rPr>
        <w:rFonts w:hint="default"/>
        <w:lang w:val="zh-CN" w:eastAsia="zh-CN" w:bidi="zh-CN"/>
      </w:rPr>
    </w:lvl>
    <w:lvl w:ilvl="6" w:tentative="0">
      <w:start w:val="0"/>
      <w:numFmt w:val="bullet"/>
      <w:lvlText w:val="•"/>
      <w:lvlJc w:val="left"/>
      <w:pPr>
        <w:ind w:left="6699" w:hanging="250"/>
      </w:pPr>
      <w:rPr>
        <w:rFonts w:hint="default"/>
        <w:lang w:val="zh-CN" w:eastAsia="zh-CN" w:bidi="zh-CN"/>
      </w:rPr>
    </w:lvl>
    <w:lvl w:ilvl="7" w:tentative="0">
      <w:start w:val="0"/>
      <w:numFmt w:val="bullet"/>
      <w:lvlText w:val="•"/>
      <w:lvlJc w:val="left"/>
      <w:pPr>
        <w:ind w:left="7596" w:hanging="250"/>
      </w:pPr>
      <w:rPr>
        <w:rFonts w:hint="default"/>
        <w:lang w:val="zh-CN" w:eastAsia="zh-CN" w:bidi="zh-CN"/>
      </w:rPr>
    </w:lvl>
    <w:lvl w:ilvl="8" w:tentative="0">
      <w:start w:val="0"/>
      <w:numFmt w:val="bullet"/>
      <w:lvlText w:val="•"/>
      <w:lvlJc w:val="left"/>
      <w:pPr>
        <w:ind w:left="8493" w:hanging="250"/>
      </w:pPr>
      <w:rPr>
        <w:rFonts w:hint="default"/>
        <w:lang w:val="zh-CN" w:eastAsia="zh-CN" w:bidi="zh-CN"/>
      </w:rPr>
    </w:lvl>
  </w:abstractNum>
  <w:abstractNum w:abstractNumId="14">
    <w:nsid w:val="134B5F30"/>
    <w:multiLevelType w:val="multilevel"/>
    <w:tmpl w:val="134B5F30"/>
    <w:lvl w:ilvl="0" w:tentative="0">
      <w:start w:val="10"/>
      <w:numFmt w:val="decimal"/>
      <w:lvlText w:val="%1"/>
      <w:lvlJc w:val="left"/>
      <w:pPr>
        <w:ind w:left="758" w:hanging="546"/>
      </w:pPr>
      <w:rPr>
        <w:rFonts w:hint="default"/>
        <w:lang w:val="zh-CN" w:eastAsia="zh-CN" w:bidi="zh-CN"/>
      </w:rPr>
    </w:lvl>
    <w:lvl w:ilvl="1" w:tentative="0">
      <w:start w:val="1"/>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267"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65" w:hanging="635"/>
      </w:pPr>
      <w:rPr>
        <w:rFonts w:hint="default"/>
        <w:lang w:val="zh-CN" w:eastAsia="zh-CN" w:bidi="zh-CN"/>
      </w:rPr>
    </w:lvl>
    <w:lvl w:ilvl="4" w:tentative="0">
      <w:start w:val="0"/>
      <w:numFmt w:val="bullet"/>
      <w:lvlText w:val="•"/>
      <w:lvlJc w:val="left"/>
      <w:pPr>
        <w:ind w:left="4268" w:hanging="635"/>
      </w:pPr>
      <w:rPr>
        <w:rFonts w:hint="default"/>
        <w:lang w:val="zh-CN" w:eastAsia="zh-CN" w:bidi="zh-CN"/>
      </w:rPr>
    </w:lvl>
    <w:lvl w:ilvl="5" w:tentative="0">
      <w:start w:val="0"/>
      <w:numFmt w:val="bullet"/>
      <w:lvlText w:val="•"/>
      <w:lvlJc w:val="left"/>
      <w:pPr>
        <w:ind w:left="5271" w:hanging="635"/>
      </w:pPr>
      <w:rPr>
        <w:rFonts w:hint="default"/>
        <w:lang w:val="zh-CN" w:eastAsia="zh-CN" w:bidi="zh-CN"/>
      </w:rPr>
    </w:lvl>
    <w:lvl w:ilvl="6" w:tentative="0">
      <w:start w:val="0"/>
      <w:numFmt w:val="bullet"/>
      <w:lvlText w:val="•"/>
      <w:lvlJc w:val="left"/>
      <w:pPr>
        <w:ind w:left="6274" w:hanging="635"/>
      </w:pPr>
      <w:rPr>
        <w:rFonts w:hint="default"/>
        <w:lang w:val="zh-CN" w:eastAsia="zh-CN" w:bidi="zh-CN"/>
      </w:rPr>
    </w:lvl>
    <w:lvl w:ilvl="7" w:tentative="0">
      <w:start w:val="0"/>
      <w:numFmt w:val="bullet"/>
      <w:lvlText w:val="•"/>
      <w:lvlJc w:val="left"/>
      <w:pPr>
        <w:ind w:left="7277" w:hanging="635"/>
      </w:pPr>
      <w:rPr>
        <w:rFonts w:hint="default"/>
        <w:lang w:val="zh-CN" w:eastAsia="zh-CN" w:bidi="zh-CN"/>
      </w:rPr>
    </w:lvl>
    <w:lvl w:ilvl="8" w:tentative="0">
      <w:start w:val="0"/>
      <w:numFmt w:val="bullet"/>
      <w:lvlText w:val="•"/>
      <w:lvlJc w:val="left"/>
      <w:pPr>
        <w:ind w:left="8280" w:hanging="635"/>
      </w:pPr>
      <w:rPr>
        <w:rFonts w:hint="default"/>
        <w:lang w:val="zh-CN" w:eastAsia="zh-CN" w:bidi="zh-CN"/>
      </w:rPr>
    </w:lvl>
  </w:abstractNum>
  <w:abstractNum w:abstractNumId="15">
    <w:nsid w:val="14276335"/>
    <w:multiLevelType w:val="multilevel"/>
    <w:tmpl w:val="14276335"/>
    <w:lvl w:ilvl="0" w:tentative="0">
      <w:start w:val="16"/>
      <w:numFmt w:val="decimal"/>
      <w:lvlText w:val="%1"/>
      <w:lvlJc w:val="left"/>
      <w:pPr>
        <w:ind w:left="758" w:hanging="546"/>
      </w:pPr>
      <w:rPr>
        <w:rFonts w:hint="default"/>
        <w:lang w:val="zh-CN" w:eastAsia="zh-CN" w:bidi="zh-CN"/>
      </w:rPr>
    </w:lvl>
    <w:lvl w:ilvl="1" w:tentative="0">
      <w:start w:val="1"/>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65" w:hanging="546"/>
      </w:pPr>
      <w:rPr>
        <w:rFonts w:hint="default"/>
        <w:lang w:val="zh-CN" w:eastAsia="zh-CN" w:bidi="zh-CN"/>
      </w:rPr>
    </w:lvl>
    <w:lvl w:ilvl="3" w:tentative="0">
      <w:start w:val="0"/>
      <w:numFmt w:val="bullet"/>
      <w:lvlText w:val="•"/>
      <w:lvlJc w:val="left"/>
      <w:pPr>
        <w:ind w:left="3617" w:hanging="546"/>
      </w:pPr>
      <w:rPr>
        <w:rFonts w:hint="default"/>
        <w:lang w:val="zh-CN" w:eastAsia="zh-CN" w:bidi="zh-CN"/>
      </w:rPr>
    </w:lvl>
    <w:lvl w:ilvl="4" w:tentative="0">
      <w:start w:val="0"/>
      <w:numFmt w:val="bullet"/>
      <w:lvlText w:val="•"/>
      <w:lvlJc w:val="left"/>
      <w:pPr>
        <w:ind w:left="4570" w:hanging="546"/>
      </w:pPr>
      <w:rPr>
        <w:rFonts w:hint="default"/>
        <w:lang w:val="zh-CN" w:eastAsia="zh-CN" w:bidi="zh-CN"/>
      </w:rPr>
    </w:lvl>
    <w:lvl w:ilvl="5" w:tentative="0">
      <w:start w:val="0"/>
      <w:numFmt w:val="bullet"/>
      <w:lvlText w:val="•"/>
      <w:lvlJc w:val="left"/>
      <w:pPr>
        <w:ind w:left="5523" w:hanging="546"/>
      </w:pPr>
      <w:rPr>
        <w:rFonts w:hint="default"/>
        <w:lang w:val="zh-CN" w:eastAsia="zh-CN" w:bidi="zh-CN"/>
      </w:rPr>
    </w:lvl>
    <w:lvl w:ilvl="6" w:tentative="0">
      <w:start w:val="0"/>
      <w:numFmt w:val="bullet"/>
      <w:lvlText w:val="•"/>
      <w:lvlJc w:val="left"/>
      <w:pPr>
        <w:ind w:left="6475" w:hanging="546"/>
      </w:pPr>
      <w:rPr>
        <w:rFonts w:hint="default"/>
        <w:lang w:val="zh-CN" w:eastAsia="zh-CN" w:bidi="zh-CN"/>
      </w:rPr>
    </w:lvl>
    <w:lvl w:ilvl="7" w:tentative="0">
      <w:start w:val="0"/>
      <w:numFmt w:val="bullet"/>
      <w:lvlText w:val="•"/>
      <w:lvlJc w:val="left"/>
      <w:pPr>
        <w:ind w:left="7428" w:hanging="546"/>
      </w:pPr>
      <w:rPr>
        <w:rFonts w:hint="default"/>
        <w:lang w:val="zh-CN" w:eastAsia="zh-CN" w:bidi="zh-CN"/>
      </w:rPr>
    </w:lvl>
    <w:lvl w:ilvl="8" w:tentative="0">
      <w:start w:val="0"/>
      <w:numFmt w:val="bullet"/>
      <w:lvlText w:val="•"/>
      <w:lvlJc w:val="left"/>
      <w:pPr>
        <w:ind w:left="8381" w:hanging="546"/>
      </w:pPr>
      <w:rPr>
        <w:rFonts w:hint="default"/>
        <w:lang w:val="zh-CN" w:eastAsia="zh-CN" w:bidi="zh-CN"/>
      </w:rPr>
    </w:lvl>
  </w:abstractNum>
  <w:abstractNum w:abstractNumId="16">
    <w:nsid w:val="150A553C"/>
    <w:multiLevelType w:val="multilevel"/>
    <w:tmpl w:val="150A553C"/>
    <w:lvl w:ilvl="0" w:tentative="0">
      <w:start w:val="3"/>
      <w:numFmt w:val="decimal"/>
      <w:lvlText w:val="%1"/>
      <w:lvlJc w:val="left"/>
      <w:pPr>
        <w:ind w:left="238" w:hanging="526"/>
      </w:pPr>
      <w:rPr>
        <w:rFonts w:hint="default"/>
        <w:lang w:val="zh-CN" w:eastAsia="zh-CN" w:bidi="zh-CN"/>
      </w:rPr>
    </w:lvl>
    <w:lvl w:ilvl="1" w:tentative="0">
      <w:start w:val="2"/>
      <w:numFmt w:val="decimal"/>
      <w:lvlText w:val="%1.%2"/>
      <w:lvlJc w:val="left"/>
      <w:pPr>
        <w:ind w:left="238" w:hanging="526"/>
      </w:pPr>
      <w:rPr>
        <w:rFonts w:hint="default"/>
        <w:lang w:val="zh-CN" w:eastAsia="zh-CN" w:bidi="zh-CN"/>
      </w:rPr>
    </w:lvl>
    <w:lvl w:ilvl="2" w:tentative="0">
      <w:start w:val="4"/>
      <w:numFmt w:val="decimal"/>
      <w:lvlText w:val="%1.%2.%3"/>
      <w:lvlJc w:val="left"/>
      <w:pPr>
        <w:ind w:left="238"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25" w:hanging="526"/>
      </w:pPr>
      <w:rPr>
        <w:rFonts w:hint="default"/>
        <w:lang w:val="zh-CN" w:eastAsia="zh-CN" w:bidi="zh-CN"/>
      </w:rPr>
    </w:lvl>
    <w:lvl w:ilvl="4" w:tentative="0">
      <w:start w:val="0"/>
      <w:numFmt w:val="bullet"/>
      <w:lvlText w:val="•"/>
      <w:lvlJc w:val="left"/>
      <w:pPr>
        <w:ind w:left="3954" w:hanging="526"/>
      </w:pPr>
      <w:rPr>
        <w:rFonts w:hint="default"/>
        <w:lang w:val="zh-CN" w:eastAsia="zh-CN" w:bidi="zh-CN"/>
      </w:rPr>
    </w:lvl>
    <w:lvl w:ilvl="5" w:tentative="0">
      <w:start w:val="0"/>
      <w:numFmt w:val="bullet"/>
      <w:lvlText w:val="•"/>
      <w:lvlJc w:val="left"/>
      <w:pPr>
        <w:ind w:left="4883" w:hanging="526"/>
      </w:pPr>
      <w:rPr>
        <w:rFonts w:hint="default"/>
        <w:lang w:val="zh-CN" w:eastAsia="zh-CN" w:bidi="zh-CN"/>
      </w:rPr>
    </w:lvl>
    <w:lvl w:ilvl="6" w:tentative="0">
      <w:start w:val="0"/>
      <w:numFmt w:val="bullet"/>
      <w:lvlText w:val="•"/>
      <w:lvlJc w:val="left"/>
      <w:pPr>
        <w:ind w:left="5811" w:hanging="526"/>
      </w:pPr>
      <w:rPr>
        <w:rFonts w:hint="default"/>
        <w:lang w:val="zh-CN" w:eastAsia="zh-CN" w:bidi="zh-CN"/>
      </w:rPr>
    </w:lvl>
    <w:lvl w:ilvl="7" w:tentative="0">
      <w:start w:val="0"/>
      <w:numFmt w:val="bullet"/>
      <w:lvlText w:val="•"/>
      <w:lvlJc w:val="left"/>
      <w:pPr>
        <w:ind w:left="6740" w:hanging="526"/>
      </w:pPr>
      <w:rPr>
        <w:rFonts w:hint="default"/>
        <w:lang w:val="zh-CN" w:eastAsia="zh-CN" w:bidi="zh-CN"/>
      </w:rPr>
    </w:lvl>
    <w:lvl w:ilvl="8" w:tentative="0">
      <w:start w:val="0"/>
      <w:numFmt w:val="bullet"/>
      <w:lvlText w:val="•"/>
      <w:lvlJc w:val="left"/>
      <w:pPr>
        <w:ind w:left="7669" w:hanging="526"/>
      </w:pPr>
      <w:rPr>
        <w:rFonts w:hint="default"/>
        <w:lang w:val="zh-CN" w:eastAsia="zh-CN" w:bidi="zh-CN"/>
      </w:rPr>
    </w:lvl>
  </w:abstractNum>
  <w:abstractNum w:abstractNumId="17">
    <w:nsid w:val="157562C9"/>
    <w:multiLevelType w:val="multilevel"/>
    <w:tmpl w:val="157562C9"/>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18">
    <w:nsid w:val="15FE6EA0"/>
    <w:multiLevelType w:val="multilevel"/>
    <w:tmpl w:val="15FE6EA0"/>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19">
    <w:nsid w:val="17344E39"/>
    <w:multiLevelType w:val="multilevel"/>
    <w:tmpl w:val="17344E39"/>
    <w:lvl w:ilvl="0" w:tentative="0">
      <w:start w:val="2"/>
      <w:numFmt w:val="decimal"/>
      <w:lvlText w:val="%1"/>
      <w:lvlJc w:val="left"/>
      <w:pPr>
        <w:ind w:left="575" w:hanging="364"/>
      </w:pPr>
      <w:rPr>
        <w:rFonts w:hint="default"/>
        <w:lang w:val="zh-CN" w:eastAsia="zh-CN" w:bidi="zh-CN"/>
      </w:rPr>
    </w:lvl>
    <w:lvl w:ilvl="1" w:tentative="0">
      <w:start w:val="7"/>
      <w:numFmt w:val="decimal"/>
      <w:lvlText w:val="%1.%2"/>
      <w:lvlJc w:val="left"/>
      <w:pPr>
        <w:ind w:left="575" w:hanging="364"/>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1211"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234" w:hanging="579"/>
      </w:pPr>
      <w:rPr>
        <w:rFonts w:hint="default"/>
        <w:lang w:val="zh-CN" w:eastAsia="zh-CN" w:bidi="zh-CN"/>
      </w:rPr>
    </w:lvl>
    <w:lvl w:ilvl="4" w:tentative="0">
      <w:start w:val="0"/>
      <w:numFmt w:val="bullet"/>
      <w:lvlText w:val="•"/>
      <w:lvlJc w:val="left"/>
      <w:pPr>
        <w:ind w:left="4242" w:hanging="579"/>
      </w:pPr>
      <w:rPr>
        <w:rFonts w:hint="default"/>
        <w:lang w:val="zh-CN" w:eastAsia="zh-CN" w:bidi="zh-CN"/>
      </w:rPr>
    </w:lvl>
    <w:lvl w:ilvl="5" w:tentative="0">
      <w:start w:val="0"/>
      <w:numFmt w:val="bullet"/>
      <w:lvlText w:val="•"/>
      <w:lvlJc w:val="left"/>
      <w:pPr>
        <w:ind w:left="5249" w:hanging="579"/>
      </w:pPr>
      <w:rPr>
        <w:rFonts w:hint="default"/>
        <w:lang w:val="zh-CN" w:eastAsia="zh-CN" w:bidi="zh-CN"/>
      </w:rPr>
    </w:lvl>
    <w:lvl w:ilvl="6" w:tentative="0">
      <w:start w:val="0"/>
      <w:numFmt w:val="bullet"/>
      <w:lvlText w:val="•"/>
      <w:lvlJc w:val="left"/>
      <w:pPr>
        <w:ind w:left="6256" w:hanging="579"/>
      </w:pPr>
      <w:rPr>
        <w:rFonts w:hint="default"/>
        <w:lang w:val="zh-CN" w:eastAsia="zh-CN" w:bidi="zh-CN"/>
      </w:rPr>
    </w:lvl>
    <w:lvl w:ilvl="7" w:tentative="0">
      <w:start w:val="0"/>
      <w:numFmt w:val="bullet"/>
      <w:lvlText w:val="•"/>
      <w:lvlJc w:val="left"/>
      <w:pPr>
        <w:ind w:left="7264" w:hanging="579"/>
      </w:pPr>
      <w:rPr>
        <w:rFonts w:hint="default"/>
        <w:lang w:val="zh-CN" w:eastAsia="zh-CN" w:bidi="zh-CN"/>
      </w:rPr>
    </w:lvl>
    <w:lvl w:ilvl="8" w:tentative="0">
      <w:start w:val="0"/>
      <w:numFmt w:val="bullet"/>
      <w:lvlText w:val="•"/>
      <w:lvlJc w:val="left"/>
      <w:pPr>
        <w:ind w:left="8271" w:hanging="579"/>
      </w:pPr>
      <w:rPr>
        <w:rFonts w:hint="default"/>
        <w:lang w:val="zh-CN" w:eastAsia="zh-CN" w:bidi="zh-CN"/>
      </w:rPr>
    </w:lvl>
  </w:abstractNum>
  <w:abstractNum w:abstractNumId="20">
    <w:nsid w:val="1AB67850"/>
    <w:multiLevelType w:val="multilevel"/>
    <w:tmpl w:val="1AB67850"/>
    <w:lvl w:ilvl="0" w:tentative="0">
      <w:start w:val="4"/>
      <w:numFmt w:val="decimal"/>
      <w:lvlText w:val="%1"/>
      <w:lvlJc w:val="left"/>
      <w:pPr>
        <w:ind w:left="698" w:hanging="486"/>
      </w:pPr>
      <w:rPr>
        <w:rFonts w:hint="default"/>
        <w:lang w:val="zh-CN" w:eastAsia="zh-CN" w:bidi="zh-CN"/>
      </w:rPr>
    </w:lvl>
    <w:lvl w:ilvl="1" w:tentative="0">
      <w:start w:val="10"/>
      <w:numFmt w:val="decimal"/>
      <w:lvlText w:val="%1.%2"/>
      <w:lvlJc w:val="left"/>
      <w:pPr>
        <w:ind w:left="698" w:hanging="486"/>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212"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388" w:hanging="635"/>
      </w:pPr>
      <w:rPr>
        <w:rFonts w:hint="default"/>
        <w:lang w:val="zh-CN" w:eastAsia="zh-CN" w:bidi="zh-CN"/>
      </w:rPr>
    </w:lvl>
    <w:lvl w:ilvl="4" w:tentative="0">
      <w:start w:val="0"/>
      <w:numFmt w:val="bullet"/>
      <w:lvlText w:val="•"/>
      <w:lvlJc w:val="left"/>
      <w:pPr>
        <w:ind w:left="3516" w:hanging="635"/>
      </w:pPr>
      <w:rPr>
        <w:rFonts w:hint="default"/>
        <w:lang w:val="zh-CN" w:eastAsia="zh-CN" w:bidi="zh-CN"/>
      </w:rPr>
    </w:lvl>
    <w:lvl w:ilvl="5" w:tentative="0">
      <w:start w:val="0"/>
      <w:numFmt w:val="bullet"/>
      <w:lvlText w:val="•"/>
      <w:lvlJc w:val="left"/>
      <w:pPr>
        <w:ind w:left="4644" w:hanging="635"/>
      </w:pPr>
      <w:rPr>
        <w:rFonts w:hint="default"/>
        <w:lang w:val="zh-CN" w:eastAsia="zh-CN" w:bidi="zh-CN"/>
      </w:rPr>
    </w:lvl>
    <w:lvl w:ilvl="6" w:tentative="0">
      <w:start w:val="0"/>
      <w:numFmt w:val="bullet"/>
      <w:lvlText w:val="•"/>
      <w:lvlJc w:val="left"/>
      <w:pPr>
        <w:ind w:left="5773" w:hanging="635"/>
      </w:pPr>
      <w:rPr>
        <w:rFonts w:hint="default"/>
        <w:lang w:val="zh-CN" w:eastAsia="zh-CN" w:bidi="zh-CN"/>
      </w:rPr>
    </w:lvl>
    <w:lvl w:ilvl="7" w:tentative="0">
      <w:start w:val="0"/>
      <w:numFmt w:val="bullet"/>
      <w:lvlText w:val="•"/>
      <w:lvlJc w:val="left"/>
      <w:pPr>
        <w:ind w:left="6901" w:hanging="635"/>
      </w:pPr>
      <w:rPr>
        <w:rFonts w:hint="default"/>
        <w:lang w:val="zh-CN" w:eastAsia="zh-CN" w:bidi="zh-CN"/>
      </w:rPr>
    </w:lvl>
    <w:lvl w:ilvl="8" w:tentative="0">
      <w:start w:val="0"/>
      <w:numFmt w:val="bullet"/>
      <w:lvlText w:val="•"/>
      <w:lvlJc w:val="left"/>
      <w:pPr>
        <w:ind w:left="8029" w:hanging="635"/>
      </w:pPr>
      <w:rPr>
        <w:rFonts w:hint="default"/>
        <w:lang w:val="zh-CN" w:eastAsia="zh-CN" w:bidi="zh-CN"/>
      </w:rPr>
    </w:lvl>
  </w:abstractNum>
  <w:abstractNum w:abstractNumId="21">
    <w:nsid w:val="1ACC4817"/>
    <w:multiLevelType w:val="multilevel"/>
    <w:tmpl w:val="1ACC4817"/>
    <w:lvl w:ilvl="0" w:tentative="0">
      <w:start w:val="8"/>
      <w:numFmt w:val="decimal"/>
      <w:lvlText w:val="%1"/>
      <w:lvlJc w:val="left"/>
      <w:pPr>
        <w:ind w:left="633" w:hanging="421"/>
      </w:pPr>
      <w:rPr>
        <w:rFonts w:hint="default"/>
        <w:lang w:val="zh-CN" w:eastAsia="zh-CN" w:bidi="zh-CN"/>
      </w:rPr>
    </w:lvl>
    <w:lvl w:ilvl="1" w:tentative="0">
      <w:start w:val="1"/>
      <w:numFmt w:val="decimal"/>
      <w:lvlText w:val="%1.%2"/>
      <w:lvlJc w:val="left"/>
      <w:pPr>
        <w:ind w:left="633" w:hanging="421"/>
      </w:pPr>
      <w:rPr>
        <w:rFonts w:hint="default" w:ascii="Times New Roman" w:hAnsi="Times New Roman" w:eastAsia="Times New Roman" w:cs="Times New Roman"/>
        <w:b/>
        <w:bCs/>
        <w:spacing w:val="-2"/>
        <w:w w:val="99"/>
        <w:sz w:val="24"/>
        <w:szCs w:val="24"/>
        <w:lang w:val="zh-CN" w:eastAsia="zh-CN" w:bidi="zh-CN"/>
      </w:rPr>
    </w:lvl>
    <w:lvl w:ilvl="2" w:tentative="0">
      <w:start w:val="1"/>
      <w:numFmt w:val="decimal"/>
      <w:lvlText w:val="%1.%2.%3"/>
      <w:lvlJc w:val="left"/>
      <w:pPr>
        <w:ind w:left="212" w:hanging="424"/>
      </w:pPr>
      <w:rPr>
        <w:rFonts w:hint="default" w:ascii="Times New Roman" w:hAnsi="Times New Roman" w:eastAsia="Times New Roman" w:cs="Times New Roman"/>
        <w:w w:val="100"/>
        <w:sz w:val="19"/>
        <w:szCs w:val="19"/>
        <w:lang w:val="zh-CN" w:eastAsia="zh-CN" w:bidi="zh-CN"/>
      </w:rPr>
    </w:lvl>
    <w:lvl w:ilvl="3" w:tentative="0">
      <w:start w:val="0"/>
      <w:numFmt w:val="bullet"/>
      <w:lvlText w:val="•"/>
      <w:lvlJc w:val="left"/>
      <w:pPr>
        <w:ind w:left="2213" w:hanging="424"/>
      </w:pPr>
      <w:rPr>
        <w:rFonts w:hint="default"/>
        <w:lang w:val="zh-CN" w:eastAsia="zh-CN" w:bidi="zh-CN"/>
      </w:rPr>
    </w:lvl>
    <w:lvl w:ilvl="4" w:tentative="0">
      <w:start w:val="0"/>
      <w:numFmt w:val="bullet"/>
      <w:lvlText w:val="•"/>
      <w:lvlJc w:val="left"/>
      <w:pPr>
        <w:ind w:left="3366" w:hanging="424"/>
      </w:pPr>
      <w:rPr>
        <w:rFonts w:hint="default"/>
        <w:lang w:val="zh-CN" w:eastAsia="zh-CN" w:bidi="zh-CN"/>
      </w:rPr>
    </w:lvl>
    <w:lvl w:ilvl="5" w:tentative="0">
      <w:start w:val="0"/>
      <w:numFmt w:val="bullet"/>
      <w:lvlText w:val="•"/>
      <w:lvlJc w:val="left"/>
      <w:pPr>
        <w:ind w:left="4519" w:hanging="424"/>
      </w:pPr>
      <w:rPr>
        <w:rFonts w:hint="default"/>
        <w:lang w:val="zh-CN" w:eastAsia="zh-CN" w:bidi="zh-CN"/>
      </w:rPr>
    </w:lvl>
    <w:lvl w:ilvl="6" w:tentative="0">
      <w:start w:val="0"/>
      <w:numFmt w:val="bullet"/>
      <w:lvlText w:val="•"/>
      <w:lvlJc w:val="left"/>
      <w:pPr>
        <w:ind w:left="5673" w:hanging="424"/>
      </w:pPr>
      <w:rPr>
        <w:rFonts w:hint="default"/>
        <w:lang w:val="zh-CN" w:eastAsia="zh-CN" w:bidi="zh-CN"/>
      </w:rPr>
    </w:lvl>
    <w:lvl w:ilvl="7" w:tentative="0">
      <w:start w:val="0"/>
      <w:numFmt w:val="bullet"/>
      <w:lvlText w:val="•"/>
      <w:lvlJc w:val="left"/>
      <w:pPr>
        <w:ind w:left="6826" w:hanging="424"/>
      </w:pPr>
      <w:rPr>
        <w:rFonts w:hint="default"/>
        <w:lang w:val="zh-CN" w:eastAsia="zh-CN" w:bidi="zh-CN"/>
      </w:rPr>
    </w:lvl>
    <w:lvl w:ilvl="8" w:tentative="0">
      <w:start w:val="0"/>
      <w:numFmt w:val="bullet"/>
      <w:lvlText w:val="•"/>
      <w:lvlJc w:val="left"/>
      <w:pPr>
        <w:ind w:left="7979" w:hanging="424"/>
      </w:pPr>
      <w:rPr>
        <w:rFonts w:hint="default"/>
        <w:lang w:val="zh-CN" w:eastAsia="zh-CN" w:bidi="zh-CN"/>
      </w:rPr>
    </w:lvl>
  </w:abstractNum>
  <w:abstractNum w:abstractNumId="22">
    <w:nsid w:val="1C372C28"/>
    <w:multiLevelType w:val="multilevel"/>
    <w:tmpl w:val="1C372C28"/>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23">
    <w:nsid w:val="1D684C76"/>
    <w:multiLevelType w:val="multilevel"/>
    <w:tmpl w:val="1D684C76"/>
    <w:lvl w:ilvl="0" w:tentative="0">
      <w:start w:val="1"/>
      <w:numFmt w:val="decimal"/>
      <w:lvlText w:val="%1"/>
      <w:lvlJc w:val="left"/>
      <w:pPr>
        <w:ind w:left="753" w:hanging="541"/>
      </w:pPr>
      <w:rPr>
        <w:rFonts w:hint="default"/>
        <w:lang w:val="zh-CN" w:eastAsia="zh-CN" w:bidi="zh-CN"/>
      </w:rPr>
    </w:lvl>
    <w:lvl w:ilvl="1" w:tentative="0">
      <w:start w:val="13"/>
      <w:numFmt w:val="decimal"/>
      <w:lvlText w:val="%1.%2"/>
      <w:lvlJc w:val="left"/>
      <w:pPr>
        <w:ind w:left="753" w:hanging="541"/>
      </w:pPr>
      <w:rPr>
        <w:rFonts w:hint="default" w:ascii="Times New Roman" w:hAnsi="Times New Roman" w:eastAsia="Times New Roman" w:cs="Times New Roman"/>
        <w:b/>
        <w:bCs/>
        <w:spacing w:val="-2"/>
        <w:w w:val="99"/>
        <w:sz w:val="24"/>
        <w:szCs w:val="24"/>
        <w:lang w:val="zh-CN" w:eastAsia="zh-CN" w:bidi="zh-CN"/>
      </w:rPr>
    </w:lvl>
    <w:lvl w:ilvl="2" w:tentative="0">
      <w:start w:val="1"/>
      <w:numFmt w:val="decimal"/>
      <w:lvlText w:val="%1.%2.%3"/>
      <w:lvlJc w:val="left"/>
      <w:pPr>
        <w:ind w:left="212" w:hanging="632"/>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876" w:hanging="632"/>
      </w:pPr>
      <w:rPr>
        <w:rFonts w:hint="default"/>
        <w:lang w:val="zh-CN" w:eastAsia="zh-CN" w:bidi="zh-CN"/>
      </w:rPr>
    </w:lvl>
    <w:lvl w:ilvl="4" w:tentative="0">
      <w:start w:val="0"/>
      <w:numFmt w:val="bullet"/>
      <w:lvlText w:val="•"/>
      <w:lvlJc w:val="left"/>
      <w:pPr>
        <w:ind w:left="3935" w:hanging="632"/>
      </w:pPr>
      <w:rPr>
        <w:rFonts w:hint="default"/>
        <w:lang w:val="zh-CN" w:eastAsia="zh-CN" w:bidi="zh-CN"/>
      </w:rPr>
    </w:lvl>
    <w:lvl w:ilvl="5" w:tentative="0">
      <w:start w:val="0"/>
      <w:numFmt w:val="bullet"/>
      <w:lvlText w:val="•"/>
      <w:lvlJc w:val="left"/>
      <w:pPr>
        <w:ind w:left="4993" w:hanging="632"/>
      </w:pPr>
      <w:rPr>
        <w:rFonts w:hint="default"/>
        <w:lang w:val="zh-CN" w:eastAsia="zh-CN" w:bidi="zh-CN"/>
      </w:rPr>
    </w:lvl>
    <w:lvl w:ilvl="6" w:tentative="0">
      <w:start w:val="0"/>
      <w:numFmt w:val="bullet"/>
      <w:lvlText w:val="•"/>
      <w:lvlJc w:val="left"/>
      <w:pPr>
        <w:ind w:left="6052" w:hanging="632"/>
      </w:pPr>
      <w:rPr>
        <w:rFonts w:hint="default"/>
        <w:lang w:val="zh-CN" w:eastAsia="zh-CN" w:bidi="zh-CN"/>
      </w:rPr>
    </w:lvl>
    <w:lvl w:ilvl="7" w:tentative="0">
      <w:start w:val="0"/>
      <w:numFmt w:val="bullet"/>
      <w:lvlText w:val="•"/>
      <w:lvlJc w:val="left"/>
      <w:pPr>
        <w:ind w:left="7110" w:hanging="632"/>
      </w:pPr>
      <w:rPr>
        <w:rFonts w:hint="default"/>
        <w:lang w:val="zh-CN" w:eastAsia="zh-CN" w:bidi="zh-CN"/>
      </w:rPr>
    </w:lvl>
    <w:lvl w:ilvl="8" w:tentative="0">
      <w:start w:val="0"/>
      <w:numFmt w:val="bullet"/>
      <w:lvlText w:val="•"/>
      <w:lvlJc w:val="left"/>
      <w:pPr>
        <w:ind w:left="8169" w:hanging="632"/>
      </w:pPr>
      <w:rPr>
        <w:rFonts w:hint="default"/>
        <w:lang w:val="zh-CN" w:eastAsia="zh-CN" w:bidi="zh-CN"/>
      </w:rPr>
    </w:lvl>
  </w:abstractNum>
  <w:abstractNum w:abstractNumId="24">
    <w:nsid w:val="1EF85A83"/>
    <w:multiLevelType w:val="multilevel"/>
    <w:tmpl w:val="1EF85A83"/>
    <w:lvl w:ilvl="0" w:tentative="0">
      <w:start w:val="1"/>
      <w:numFmt w:val="decimal"/>
      <w:lvlText w:val="%1"/>
      <w:lvlJc w:val="left"/>
      <w:pPr>
        <w:ind w:left="1371" w:hanging="738"/>
      </w:pPr>
      <w:rPr>
        <w:rFonts w:hint="default"/>
        <w:lang w:val="zh-CN" w:eastAsia="zh-CN" w:bidi="zh-CN"/>
      </w:rPr>
    </w:lvl>
    <w:lvl w:ilvl="1" w:tentative="0">
      <w:start w:val="1"/>
      <w:numFmt w:val="decimal"/>
      <w:lvlText w:val="%1.%2"/>
      <w:lvlJc w:val="left"/>
      <w:pPr>
        <w:ind w:left="1371" w:hanging="738"/>
      </w:pPr>
      <w:rPr>
        <w:rFonts w:hint="default"/>
        <w:lang w:val="zh-CN" w:eastAsia="zh-CN" w:bidi="zh-CN"/>
      </w:rPr>
    </w:lvl>
    <w:lvl w:ilvl="2" w:tentative="0">
      <w:start w:val="2"/>
      <w:numFmt w:val="decimal"/>
      <w:lvlText w:val="%1.%2.%3"/>
      <w:lvlJc w:val="left"/>
      <w:pPr>
        <w:ind w:left="1371" w:hanging="738"/>
      </w:pPr>
      <w:rPr>
        <w:rFonts w:hint="default"/>
        <w:lang w:val="zh-CN" w:eastAsia="zh-CN" w:bidi="zh-CN"/>
      </w:rPr>
    </w:lvl>
    <w:lvl w:ilvl="3" w:tentative="0">
      <w:start w:val="3"/>
      <w:numFmt w:val="decimal"/>
      <w:lvlText w:val="%1.%2.%3.%4"/>
      <w:lvlJc w:val="left"/>
      <w:pPr>
        <w:ind w:left="1371" w:hanging="738"/>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942" w:hanging="738"/>
      </w:pPr>
      <w:rPr>
        <w:rFonts w:hint="default"/>
        <w:lang w:val="zh-CN" w:eastAsia="zh-CN" w:bidi="zh-CN"/>
      </w:rPr>
    </w:lvl>
    <w:lvl w:ilvl="5" w:tentative="0">
      <w:start w:val="0"/>
      <w:numFmt w:val="bullet"/>
      <w:lvlText w:val="•"/>
      <w:lvlJc w:val="left"/>
      <w:pPr>
        <w:ind w:left="5833" w:hanging="738"/>
      </w:pPr>
      <w:rPr>
        <w:rFonts w:hint="default"/>
        <w:lang w:val="zh-CN" w:eastAsia="zh-CN" w:bidi="zh-CN"/>
      </w:rPr>
    </w:lvl>
    <w:lvl w:ilvl="6" w:tentative="0">
      <w:start w:val="0"/>
      <w:numFmt w:val="bullet"/>
      <w:lvlText w:val="•"/>
      <w:lvlJc w:val="left"/>
      <w:pPr>
        <w:ind w:left="6723" w:hanging="738"/>
      </w:pPr>
      <w:rPr>
        <w:rFonts w:hint="default"/>
        <w:lang w:val="zh-CN" w:eastAsia="zh-CN" w:bidi="zh-CN"/>
      </w:rPr>
    </w:lvl>
    <w:lvl w:ilvl="7" w:tentative="0">
      <w:start w:val="0"/>
      <w:numFmt w:val="bullet"/>
      <w:lvlText w:val="•"/>
      <w:lvlJc w:val="left"/>
      <w:pPr>
        <w:ind w:left="7614" w:hanging="738"/>
      </w:pPr>
      <w:rPr>
        <w:rFonts w:hint="default"/>
        <w:lang w:val="zh-CN" w:eastAsia="zh-CN" w:bidi="zh-CN"/>
      </w:rPr>
    </w:lvl>
    <w:lvl w:ilvl="8" w:tentative="0">
      <w:start w:val="0"/>
      <w:numFmt w:val="bullet"/>
      <w:lvlText w:val="•"/>
      <w:lvlJc w:val="left"/>
      <w:pPr>
        <w:ind w:left="8505" w:hanging="738"/>
      </w:pPr>
      <w:rPr>
        <w:rFonts w:hint="default"/>
        <w:lang w:val="zh-CN" w:eastAsia="zh-CN" w:bidi="zh-CN"/>
      </w:rPr>
    </w:lvl>
  </w:abstractNum>
  <w:abstractNum w:abstractNumId="25">
    <w:nsid w:val="1F5E1D12"/>
    <w:multiLevelType w:val="multilevel"/>
    <w:tmpl w:val="1F5E1D12"/>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26">
    <w:nsid w:val="1FCD379A"/>
    <w:multiLevelType w:val="multilevel"/>
    <w:tmpl w:val="1FCD379A"/>
    <w:lvl w:ilvl="0" w:tentative="0">
      <w:start w:val="10"/>
      <w:numFmt w:val="decimal"/>
      <w:lvlText w:val="%1"/>
      <w:lvlJc w:val="left"/>
      <w:pPr>
        <w:ind w:left="758" w:hanging="546"/>
      </w:pPr>
      <w:rPr>
        <w:rFonts w:hint="default"/>
        <w:lang w:val="zh-CN" w:eastAsia="zh-CN" w:bidi="zh-CN"/>
      </w:rPr>
    </w:lvl>
    <w:lvl w:ilvl="1" w:tentative="0">
      <w:start w:val="6"/>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267"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65" w:hanging="635"/>
      </w:pPr>
      <w:rPr>
        <w:rFonts w:hint="default"/>
        <w:lang w:val="zh-CN" w:eastAsia="zh-CN" w:bidi="zh-CN"/>
      </w:rPr>
    </w:lvl>
    <w:lvl w:ilvl="4" w:tentative="0">
      <w:start w:val="0"/>
      <w:numFmt w:val="bullet"/>
      <w:lvlText w:val="•"/>
      <w:lvlJc w:val="left"/>
      <w:pPr>
        <w:ind w:left="4268" w:hanging="635"/>
      </w:pPr>
      <w:rPr>
        <w:rFonts w:hint="default"/>
        <w:lang w:val="zh-CN" w:eastAsia="zh-CN" w:bidi="zh-CN"/>
      </w:rPr>
    </w:lvl>
    <w:lvl w:ilvl="5" w:tentative="0">
      <w:start w:val="0"/>
      <w:numFmt w:val="bullet"/>
      <w:lvlText w:val="•"/>
      <w:lvlJc w:val="left"/>
      <w:pPr>
        <w:ind w:left="5271" w:hanging="635"/>
      </w:pPr>
      <w:rPr>
        <w:rFonts w:hint="default"/>
        <w:lang w:val="zh-CN" w:eastAsia="zh-CN" w:bidi="zh-CN"/>
      </w:rPr>
    </w:lvl>
    <w:lvl w:ilvl="6" w:tentative="0">
      <w:start w:val="0"/>
      <w:numFmt w:val="bullet"/>
      <w:lvlText w:val="•"/>
      <w:lvlJc w:val="left"/>
      <w:pPr>
        <w:ind w:left="6274" w:hanging="635"/>
      </w:pPr>
      <w:rPr>
        <w:rFonts w:hint="default"/>
        <w:lang w:val="zh-CN" w:eastAsia="zh-CN" w:bidi="zh-CN"/>
      </w:rPr>
    </w:lvl>
    <w:lvl w:ilvl="7" w:tentative="0">
      <w:start w:val="0"/>
      <w:numFmt w:val="bullet"/>
      <w:lvlText w:val="•"/>
      <w:lvlJc w:val="left"/>
      <w:pPr>
        <w:ind w:left="7277" w:hanging="635"/>
      </w:pPr>
      <w:rPr>
        <w:rFonts w:hint="default"/>
        <w:lang w:val="zh-CN" w:eastAsia="zh-CN" w:bidi="zh-CN"/>
      </w:rPr>
    </w:lvl>
    <w:lvl w:ilvl="8" w:tentative="0">
      <w:start w:val="0"/>
      <w:numFmt w:val="bullet"/>
      <w:lvlText w:val="•"/>
      <w:lvlJc w:val="left"/>
      <w:pPr>
        <w:ind w:left="8280" w:hanging="635"/>
      </w:pPr>
      <w:rPr>
        <w:rFonts w:hint="default"/>
        <w:lang w:val="zh-CN" w:eastAsia="zh-CN" w:bidi="zh-CN"/>
      </w:rPr>
    </w:lvl>
  </w:abstractNum>
  <w:abstractNum w:abstractNumId="27">
    <w:nsid w:val="20033FA1"/>
    <w:multiLevelType w:val="multilevel"/>
    <w:tmpl w:val="20033FA1"/>
    <w:lvl w:ilvl="0" w:tentative="0">
      <w:start w:val="1"/>
      <w:numFmt w:val="decimal"/>
      <w:lvlText w:val="（%1）"/>
      <w:lvlJc w:val="left"/>
      <w:pPr>
        <w:ind w:left="1162" w:hanging="529"/>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28">
    <w:nsid w:val="203669A6"/>
    <w:multiLevelType w:val="multilevel"/>
    <w:tmpl w:val="203669A6"/>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29">
    <w:nsid w:val="20522D19"/>
    <w:multiLevelType w:val="multilevel"/>
    <w:tmpl w:val="20522D19"/>
    <w:lvl w:ilvl="0" w:tentative="0">
      <w:start w:val="1"/>
      <w:numFmt w:val="decimal"/>
      <w:lvlText w:val="(%1)"/>
      <w:lvlJc w:val="left"/>
      <w:pPr>
        <w:ind w:left="238" w:hanging="247"/>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660" w:hanging="247"/>
      </w:pPr>
      <w:rPr>
        <w:rFonts w:hint="default"/>
        <w:lang w:val="zh-CN" w:eastAsia="zh-CN" w:bidi="zh-CN"/>
      </w:rPr>
    </w:lvl>
    <w:lvl w:ilvl="2" w:tentative="0">
      <w:start w:val="0"/>
      <w:numFmt w:val="bullet"/>
      <w:lvlText w:val="•"/>
      <w:lvlJc w:val="left"/>
      <w:pPr>
        <w:ind w:left="1645" w:hanging="247"/>
      </w:pPr>
      <w:rPr>
        <w:rFonts w:hint="default"/>
        <w:lang w:val="zh-CN" w:eastAsia="zh-CN" w:bidi="zh-CN"/>
      </w:rPr>
    </w:lvl>
    <w:lvl w:ilvl="3" w:tentative="0">
      <w:start w:val="0"/>
      <w:numFmt w:val="bullet"/>
      <w:lvlText w:val="•"/>
      <w:lvlJc w:val="left"/>
      <w:pPr>
        <w:ind w:left="2630" w:hanging="247"/>
      </w:pPr>
      <w:rPr>
        <w:rFonts w:hint="default"/>
        <w:lang w:val="zh-CN" w:eastAsia="zh-CN" w:bidi="zh-CN"/>
      </w:rPr>
    </w:lvl>
    <w:lvl w:ilvl="4" w:tentative="0">
      <w:start w:val="0"/>
      <w:numFmt w:val="bullet"/>
      <w:lvlText w:val="•"/>
      <w:lvlJc w:val="left"/>
      <w:pPr>
        <w:ind w:left="3615" w:hanging="247"/>
      </w:pPr>
      <w:rPr>
        <w:rFonts w:hint="default"/>
        <w:lang w:val="zh-CN" w:eastAsia="zh-CN" w:bidi="zh-CN"/>
      </w:rPr>
    </w:lvl>
    <w:lvl w:ilvl="5" w:tentative="0">
      <w:start w:val="0"/>
      <w:numFmt w:val="bullet"/>
      <w:lvlText w:val="•"/>
      <w:lvlJc w:val="left"/>
      <w:pPr>
        <w:ind w:left="4600" w:hanging="247"/>
      </w:pPr>
      <w:rPr>
        <w:rFonts w:hint="default"/>
        <w:lang w:val="zh-CN" w:eastAsia="zh-CN" w:bidi="zh-CN"/>
      </w:rPr>
    </w:lvl>
    <w:lvl w:ilvl="6" w:tentative="0">
      <w:start w:val="0"/>
      <w:numFmt w:val="bullet"/>
      <w:lvlText w:val="•"/>
      <w:lvlJc w:val="left"/>
      <w:pPr>
        <w:ind w:left="5585" w:hanging="247"/>
      </w:pPr>
      <w:rPr>
        <w:rFonts w:hint="default"/>
        <w:lang w:val="zh-CN" w:eastAsia="zh-CN" w:bidi="zh-CN"/>
      </w:rPr>
    </w:lvl>
    <w:lvl w:ilvl="7" w:tentative="0">
      <w:start w:val="0"/>
      <w:numFmt w:val="bullet"/>
      <w:lvlText w:val="•"/>
      <w:lvlJc w:val="left"/>
      <w:pPr>
        <w:ind w:left="6570" w:hanging="247"/>
      </w:pPr>
      <w:rPr>
        <w:rFonts w:hint="default"/>
        <w:lang w:val="zh-CN" w:eastAsia="zh-CN" w:bidi="zh-CN"/>
      </w:rPr>
    </w:lvl>
    <w:lvl w:ilvl="8" w:tentative="0">
      <w:start w:val="0"/>
      <w:numFmt w:val="bullet"/>
      <w:lvlText w:val="•"/>
      <w:lvlJc w:val="left"/>
      <w:pPr>
        <w:ind w:left="7556" w:hanging="247"/>
      </w:pPr>
      <w:rPr>
        <w:rFonts w:hint="default"/>
        <w:lang w:val="zh-CN" w:eastAsia="zh-CN" w:bidi="zh-CN"/>
      </w:rPr>
    </w:lvl>
  </w:abstractNum>
  <w:abstractNum w:abstractNumId="30">
    <w:nsid w:val="23407F5F"/>
    <w:multiLevelType w:val="multilevel"/>
    <w:tmpl w:val="23407F5F"/>
    <w:lvl w:ilvl="0" w:tentative="0">
      <w:start w:val="1"/>
      <w:numFmt w:val="decimal"/>
      <w:lvlText w:val="（%1）"/>
      <w:lvlJc w:val="left"/>
      <w:pPr>
        <w:ind w:left="1159" w:hanging="527"/>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2072" w:hanging="527"/>
      </w:pPr>
      <w:rPr>
        <w:rFonts w:hint="default"/>
        <w:lang w:val="zh-CN" w:eastAsia="zh-CN" w:bidi="zh-CN"/>
      </w:rPr>
    </w:lvl>
    <w:lvl w:ilvl="2" w:tentative="0">
      <w:start w:val="0"/>
      <w:numFmt w:val="bullet"/>
      <w:lvlText w:val="•"/>
      <w:lvlJc w:val="left"/>
      <w:pPr>
        <w:ind w:left="2985" w:hanging="527"/>
      </w:pPr>
      <w:rPr>
        <w:rFonts w:hint="default"/>
        <w:lang w:val="zh-CN" w:eastAsia="zh-CN" w:bidi="zh-CN"/>
      </w:rPr>
    </w:lvl>
    <w:lvl w:ilvl="3" w:tentative="0">
      <w:start w:val="0"/>
      <w:numFmt w:val="bullet"/>
      <w:lvlText w:val="•"/>
      <w:lvlJc w:val="left"/>
      <w:pPr>
        <w:ind w:left="389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723" w:hanging="527"/>
      </w:pPr>
      <w:rPr>
        <w:rFonts w:hint="default"/>
        <w:lang w:val="zh-CN" w:eastAsia="zh-CN" w:bidi="zh-CN"/>
      </w:rPr>
    </w:lvl>
    <w:lvl w:ilvl="6" w:tentative="0">
      <w:start w:val="0"/>
      <w:numFmt w:val="bullet"/>
      <w:lvlText w:val="•"/>
      <w:lvlJc w:val="left"/>
      <w:pPr>
        <w:ind w:left="6635" w:hanging="527"/>
      </w:pPr>
      <w:rPr>
        <w:rFonts w:hint="default"/>
        <w:lang w:val="zh-CN" w:eastAsia="zh-CN" w:bidi="zh-CN"/>
      </w:rPr>
    </w:lvl>
    <w:lvl w:ilvl="7" w:tentative="0">
      <w:start w:val="0"/>
      <w:numFmt w:val="bullet"/>
      <w:lvlText w:val="•"/>
      <w:lvlJc w:val="left"/>
      <w:pPr>
        <w:ind w:left="7548" w:hanging="527"/>
      </w:pPr>
      <w:rPr>
        <w:rFonts w:hint="default"/>
        <w:lang w:val="zh-CN" w:eastAsia="zh-CN" w:bidi="zh-CN"/>
      </w:rPr>
    </w:lvl>
    <w:lvl w:ilvl="8" w:tentative="0">
      <w:start w:val="0"/>
      <w:numFmt w:val="bullet"/>
      <w:lvlText w:val="•"/>
      <w:lvlJc w:val="left"/>
      <w:pPr>
        <w:ind w:left="8461" w:hanging="527"/>
      </w:pPr>
      <w:rPr>
        <w:rFonts w:hint="default"/>
        <w:lang w:val="zh-CN" w:eastAsia="zh-CN" w:bidi="zh-CN"/>
      </w:rPr>
    </w:lvl>
  </w:abstractNum>
  <w:abstractNum w:abstractNumId="31">
    <w:nsid w:val="240103DA"/>
    <w:multiLevelType w:val="multilevel"/>
    <w:tmpl w:val="240103DA"/>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32">
    <w:nsid w:val="243FCF68"/>
    <w:multiLevelType w:val="multilevel"/>
    <w:tmpl w:val="243FCF68"/>
    <w:lvl w:ilvl="0" w:tentative="0">
      <w:start w:val="2"/>
      <w:numFmt w:val="decimal"/>
      <w:lvlText w:val="%1."/>
      <w:lvlJc w:val="left"/>
      <w:pPr>
        <w:ind w:left="892" w:hanging="213"/>
        <w:jc w:val="left"/>
      </w:pPr>
      <w:rPr>
        <w:rFonts w:hint="default"/>
        <w:spacing w:val="-1"/>
        <w:w w:val="100"/>
        <w:lang w:val="zh-CN" w:eastAsia="zh-CN" w:bidi="zh-CN"/>
      </w:rPr>
    </w:lvl>
    <w:lvl w:ilvl="1" w:tentative="0">
      <w:start w:val="1"/>
      <w:numFmt w:val="decimal"/>
      <w:lvlText w:val="%1.%2"/>
      <w:lvlJc w:val="left"/>
      <w:pPr>
        <w:ind w:left="998" w:hanging="318"/>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260"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087" w:hanging="529"/>
      </w:pPr>
      <w:rPr>
        <w:rFonts w:hint="default"/>
        <w:lang w:val="zh-CN" w:eastAsia="zh-CN" w:bidi="zh-CN"/>
      </w:rPr>
    </w:lvl>
    <w:lvl w:ilvl="4" w:tentative="0">
      <w:start w:val="0"/>
      <w:numFmt w:val="bullet"/>
      <w:lvlText w:val="•"/>
      <w:lvlJc w:val="left"/>
      <w:pPr>
        <w:ind w:left="3174" w:hanging="529"/>
      </w:pPr>
      <w:rPr>
        <w:rFonts w:hint="default"/>
        <w:lang w:val="zh-CN" w:eastAsia="zh-CN" w:bidi="zh-CN"/>
      </w:rPr>
    </w:lvl>
    <w:lvl w:ilvl="5" w:tentative="0">
      <w:start w:val="0"/>
      <w:numFmt w:val="bullet"/>
      <w:lvlText w:val="•"/>
      <w:lvlJc w:val="left"/>
      <w:pPr>
        <w:ind w:left="4262" w:hanging="529"/>
      </w:pPr>
      <w:rPr>
        <w:rFonts w:hint="default"/>
        <w:lang w:val="zh-CN" w:eastAsia="zh-CN" w:bidi="zh-CN"/>
      </w:rPr>
    </w:lvl>
    <w:lvl w:ilvl="6" w:tentative="0">
      <w:start w:val="0"/>
      <w:numFmt w:val="bullet"/>
      <w:lvlText w:val="•"/>
      <w:lvlJc w:val="left"/>
      <w:pPr>
        <w:ind w:left="5349" w:hanging="529"/>
      </w:pPr>
      <w:rPr>
        <w:rFonts w:hint="default"/>
        <w:lang w:val="zh-CN" w:eastAsia="zh-CN" w:bidi="zh-CN"/>
      </w:rPr>
    </w:lvl>
    <w:lvl w:ilvl="7" w:tentative="0">
      <w:start w:val="0"/>
      <w:numFmt w:val="bullet"/>
      <w:lvlText w:val="•"/>
      <w:lvlJc w:val="left"/>
      <w:pPr>
        <w:ind w:left="6437" w:hanging="529"/>
      </w:pPr>
      <w:rPr>
        <w:rFonts w:hint="default"/>
        <w:lang w:val="zh-CN" w:eastAsia="zh-CN" w:bidi="zh-CN"/>
      </w:rPr>
    </w:lvl>
    <w:lvl w:ilvl="8" w:tentative="0">
      <w:start w:val="0"/>
      <w:numFmt w:val="bullet"/>
      <w:lvlText w:val="•"/>
      <w:lvlJc w:val="left"/>
      <w:pPr>
        <w:ind w:left="7524" w:hanging="529"/>
      </w:pPr>
      <w:rPr>
        <w:rFonts w:hint="default"/>
        <w:lang w:val="zh-CN" w:eastAsia="zh-CN" w:bidi="zh-CN"/>
      </w:rPr>
    </w:lvl>
  </w:abstractNum>
  <w:abstractNum w:abstractNumId="33">
    <w:nsid w:val="247E3DC7"/>
    <w:multiLevelType w:val="multilevel"/>
    <w:tmpl w:val="247E3DC7"/>
    <w:lvl w:ilvl="0" w:tentative="0">
      <w:start w:val="1"/>
      <w:numFmt w:val="decimal"/>
      <w:lvlText w:val="%1."/>
      <w:lvlJc w:val="left"/>
      <w:pPr>
        <w:ind w:left="1385" w:hanging="313"/>
      </w:pPr>
      <w:rPr>
        <w:rFonts w:hint="default" w:ascii="Times New Roman" w:hAnsi="Times New Roman" w:eastAsia="Times New Roman" w:cs="Times New Roman"/>
        <w:spacing w:val="-34"/>
        <w:w w:val="100"/>
        <w:sz w:val="19"/>
        <w:szCs w:val="19"/>
        <w:lang w:val="zh-CN" w:eastAsia="zh-CN" w:bidi="zh-CN"/>
      </w:rPr>
    </w:lvl>
    <w:lvl w:ilvl="1" w:tentative="0">
      <w:start w:val="1"/>
      <w:numFmt w:val="decimal"/>
      <w:lvlText w:val="（%2）"/>
      <w:lvlJc w:val="left"/>
      <w:pPr>
        <w:ind w:left="1875" w:hanging="515"/>
      </w:pPr>
      <w:rPr>
        <w:rFonts w:hint="default" w:ascii="宋体" w:hAnsi="宋体" w:eastAsia="宋体" w:cs="宋体"/>
        <w:spacing w:val="-10"/>
        <w:w w:val="100"/>
        <w:sz w:val="19"/>
        <w:szCs w:val="19"/>
        <w:lang w:val="zh-CN" w:eastAsia="zh-CN" w:bidi="zh-CN"/>
      </w:rPr>
    </w:lvl>
    <w:lvl w:ilvl="2" w:tentative="0">
      <w:start w:val="0"/>
      <w:numFmt w:val="bullet"/>
      <w:lvlText w:val="•"/>
      <w:lvlJc w:val="left"/>
      <w:pPr>
        <w:ind w:left="2814" w:hanging="515"/>
      </w:pPr>
      <w:rPr>
        <w:rFonts w:hint="default"/>
        <w:lang w:val="zh-CN" w:eastAsia="zh-CN" w:bidi="zh-CN"/>
      </w:rPr>
    </w:lvl>
    <w:lvl w:ilvl="3" w:tentative="0">
      <w:start w:val="0"/>
      <w:numFmt w:val="bullet"/>
      <w:lvlText w:val="•"/>
      <w:lvlJc w:val="left"/>
      <w:pPr>
        <w:ind w:left="3748" w:hanging="515"/>
      </w:pPr>
      <w:rPr>
        <w:rFonts w:hint="default"/>
        <w:lang w:val="zh-CN" w:eastAsia="zh-CN" w:bidi="zh-CN"/>
      </w:rPr>
    </w:lvl>
    <w:lvl w:ilvl="4" w:tentative="0">
      <w:start w:val="0"/>
      <w:numFmt w:val="bullet"/>
      <w:lvlText w:val="•"/>
      <w:lvlJc w:val="left"/>
      <w:pPr>
        <w:ind w:left="4682" w:hanging="515"/>
      </w:pPr>
      <w:rPr>
        <w:rFonts w:hint="default"/>
        <w:lang w:val="zh-CN" w:eastAsia="zh-CN" w:bidi="zh-CN"/>
      </w:rPr>
    </w:lvl>
    <w:lvl w:ilvl="5" w:tentative="0">
      <w:start w:val="0"/>
      <w:numFmt w:val="bullet"/>
      <w:lvlText w:val="•"/>
      <w:lvlJc w:val="left"/>
      <w:pPr>
        <w:ind w:left="5616" w:hanging="515"/>
      </w:pPr>
      <w:rPr>
        <w:rFonts w:hint="default"/>
        <w:lang w:val="zh-CN" w:eastAsia="zh-CN" w:bidi="zh-CN"/>
      </w:rPr>
    </w:lvl>
    <w:lvl w:ilvl="6" w:tentative="0">
      <w:start w:val="0"/>
      <w:numFmt w:val="bullet"/>
      <w:lvlText w:val="•"/>
      <w:lvlJc w:val="left"/>
      <w:pPr>
        <w:ind w:left="6550" w:hanging="515"/>
      </w:pPr>
      <w:rPr>
        <w:rFonts w:hint="default"/>
        <w:lang w:val="zh-CN" w:eastAsia="zh-CN" w:bidi="zh-CN"/>
      </w:rPr>
    </w:lvl>
    <w:lvl w:ilvl="7" w:tentative="0">
      <w:start w:val="0"/>
      <w:numFmt w:val="bullet"/>
      <w:lvlText w:val="•"/>
      <w:lvlJc w:val="left"/>
      <w:pPr>
        <w:ind w:left="7484" w:hanging="515"/>
      </w:pPr>
      <w:rPr>
        <w:rFonts w:hint="default"/>
        <w:lang w:val="zh-CN" w:eastAsia="zh-CN" w:bidi="zh-CN"/>
      </w:rPr>
    </w:lvl>
    <w:lvl w:ilvl="8" w:tentative="0">
      <w:start w:val="0"/>
      <w:numFmt w:val="bullet"/>
      <w:lvlText w:val="•"/>
      <w:lvlJc w:val="left"/>
      <w:pPr>
        <w:ind w:left="8418" w:hanging="515"/>
      </w:pPr>
      <w:rPr>
        <w:rFonts w:hint="default"/>
        <w:lang w:val="zh-CN" w:eastAsia="zh-CN" w:bidi="zh-CN"/>
      </w:rPr>
    </w:lvl>
  </w:abstractNum>
  <w:abstractNum w:abstractNumId="34">
    <w:nsid w:val="273B2C79"/>
    <w:multiLevelType w:val="multilevel"/>
    <w:tmpl w:val="273B2C79"/>
    <w:lvl w:ilvl="0" w:tentative="0">
      <w:start w:val="1"/>
      <w:numFmt w:val="decimal"/>
      <w:lvlText w:val="（%1）"/>
      <w:lvlJc w:val="left"/>
      <w:pPr>
        <w:ind w:left="1587" w:hanging="515"/>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2450" w:hanging="515"/>
      </w:pPr>
      <w:rPr>
        <w:rFonts w:hint="default"/>
        <w:lang w:val="zh-CN" w:eastAsia="zh-CN" w:bidi="zh-CN"/>
      </w:rPr>
    </w:lvl>
    <w:lvl w:ilvl="2" w:tentative="0">
      <w:start w:val="0"/>
      <w:numFmt w:val="bullet"/>
      <w:lvlText w:val="•"/>
      <w:lvlJc w:val="left"/>
      <w:pPr>
        <w:ind w:left="3321" w:hanging="515"/>
      </w:pPr>
      <w:rPr>
        <w:rFonts w:hint="default"/>
        <w:lang w:val="zh-CN" w:eastAsia="zh-CN" w:bidi="zh-CN"/>
      </w:rPr>
    </w:lvl>
    <w:lvl w:ilvl="3" w:tentative="0">
      <w:start w:val="0"/>
      <w:numFmt w:val="bullet"/>
      <w:lvlText w:val="•"/>
      <w:lvlJc w:val="left"/>
      <w:pPr>
        <w:ind w:left="4191" w:hanging="515"/>
      </w:pPr>
      <w:rPr>
        <w:rFonts w:hint="default"/>
        <w:lang w:val="zh-CN" w:eastAsia="zh-CN" w:bidi="zh-CN"/>
      </w:rPr>
    </w:lvl>
    <w:lvl w:ilvl="4" w:tentative="0">
      <w:start w:val="0"/>
      <w:numFmt w:val="bullet"/>
      <w:lvlText w:val="•"/>
      <w:lvlJc w:val="left"/>
      <w:pPr>
        <w:ind w:left="5062" w:hanging="515"/>
      </w:pPr>
      <w:rPr>
        <w:rFonts w:hint="default"/>
        <w:lang w:val="zh-CN" w:eastAsia="zh-CN" w:bidi="zh-CN"/>
      </w:rPr>
    </w:lvl>
    <w:lvl w:ilvl="5" w:tentative="0">
      <w:start w:val="0"/>
      <w:numFmt w:val="bullet"/>
      <w:lvlText w:val="•"/>
      <w:lvlJc w:val="left"/>
      <w:pPr>
        <w:ind w:left="5933" w:hanging="515"/>
      </w:pPr>
      <w:rPr>
        <w:rFonts w:hint="default"/>
        <w:lang w:val="zh-CN" w:eastAsia="zh-CN" w:bidi="zh-CN"/>
      </w:rPr>
    </w:lvl>
    <w:lvl w:ilvl="6" w:tentative="0">
      <w:start w:val="0"/>
      <w:numFmt w:val="bullet"/>
      <w:lvlText w:val="•"/>
      <w:lvlJc w:val="left"/>
      <w:pPr>
        <w:ind w:left="6803" w:hanging="515"/>
      </w:pPr>
      <w:rPr>
        <w:rFonts w:hint="default"/>
        <w:lang w:val="zh-CN" w:eastAsia="zh-CN" w:bidi="zh-CN"/>
      </w:rPr>
    </w:lvl>
    <w:lvl w:ilvl="7" w:tentative="0">
      <w:start w:val="0"/>
      <w:numFmt w:val="bullet"/>
      <w:lvlText w:val="•"/>
      <w:lvlJc w:val="left"/>
      <w:pPr>
        <w:ind w:left="7674" w:hanging="515"/>
      </w:pPr>
      <w:rPr>
        <w:rFonts w:hint="default"/>
        <w:lang w:val="zh-CN" w:eastAsia="zh-CN" w:bidi="zh-CN"/>
      </w:rPr>
    </w:lvl>
    <w:lvl w:ilvl="8" w:tentative="0">
      <w:start w:val="0"/>
      <w:numFmt w:val="bullet"/>
      <w:lvlText w:val="•"/>
      <w:lvlJc w:val="left"/>
      <w:pPr>
        <w:ind w:left="8545" w:hanging="515"/>
      </w:pPr>
      <w:rPr>
        <w:rFonts w:hint="default"/>
        <w:lang w:val="zh-CN" w:eastAsia="zh-CN" w:bidi="zh-CN"/>
      </w:rPr>
    </w:lvl>
  </w:abstractNum>
  <w:abstractNum w:abstractNumId="35">
    <w:nsid w:val="285F09EC"/>
    <w:multiLevelType w:val="multilevel"/>
    <w:tmpl w:val="285F09EC"/>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36">
    <w:nsid w:val="302E1B44"/>
    <w:multiLevelType w:val="multilevel"/>
    <w:tmpl w:val="302E1B44"/>
    <w:lvl w:ilvl="0" w:tentative="0">
      <w:start w:val="15"/>
      <w:numFmt w:val="decimal"/>
      <w:lvlText w:val="%1"/>
      <w:lvlJc w:val="left"/>
      <w:pPr>
        <w:ind w:left="878" w:hanging="666"/>
      </w:pPr>
      <w:rPr>
        <w:rFonts w:hint="default"/>
        <w:lang w:val="zh-CN" w:eastAsia="zh-CN" w:bidi="zh-CN"/>
      </w:rPr>
    </w:lvl>
    <w:lvl w:ilvl="1" w:tentative="0">
      <w:start w:val="5"/>
      <w:numFmt w:val="decimal"/>
      <w:lvlText w:val="%1.%2"/>
      <w:lvlJc w:val="left"/>
      <w:pPr>
        <w:ind w:left="878" w:hanging="666"/>
      </w:pPr>
      <w:rPr>
        <w:rFonts w:hint="default" w:ascii="Times New Roman" w:hAnsi="Times New Roman" w:eastAsia="Times New Roman" w:cs="Times New Roman"/>
        <w:w w:val="99"/>
        <w:sz w:val="32"/>
        <w:szCs w:val="32"/>
        <w:lang w:val="zh-CN" w:eastAsia="zh-CN" w:bidi="zh-CN"/>
      </w:rPr>
    </w:lvl>
    <w:lvl w:ilvl="2" w:tentative="0">
      <w:start w:val="1"/>
      <w:numFmt w:val="decimal"/>
      <w:lvlText w:val="%1.%2.%3"/>
      <w:lvlJc w:val="left"/>
      <w:pPr>
        <w:ind w:left="212" w:hanging="632"/>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970" w:hanging="632"/>
      </w:pPr>
      <w:rPr>
        <w:rFonts w:hint="default"/>
        <w:lang w:val="zh-CN" w:eastAsia="zh-CN" w:bidi="zh-CN"/>
      </w:rPr>
    </w:lvl>
    <w:lvl w:ilvl="4" w:tentative="0">
      <w:start w:val="0"/>
      <w:numFmt w:val="bullet"/>
      <w:lvlText w:val="•"/>
      <w:lvlJc w:val="left"/>
      <w:pPr>
        <w:ind w:left="4015" w:hanging="632"/>
      </w:pPr>
      <w:rPr>
        <w:rFonts w:hint="default"/>
        <w:lang w:val="zh-CN" w:eastAsia="zh-CN" w:bidi="zh-CN"/>
      </w:rPr>
    </w:lvl>
    <w:lvl w:ilvl="5" w:tentative="0">
      <w:start w:val="0"/>
      <w:numFmt w:val="bullet"/>
      <w:lvlText w:val="•"/>
      <w:lvlJc w:val="left"/>
      <w:pPr>
        <w:ind w:left="5060" w:hanging="632"/>
      </w:pPr>
      <w:rPr>
        <w:rFonts w:hint="default"/>
        <w:lang w:val="zh-CN" w:eastAsia="zh-CN" w:bidi="zh-CN"/>
      </w:rPr>
    </w:lvl>
    <w:lvl w:ilvl="6" w:tentative="0">
      <w:start w:val="0"/>
      <w:numFmt w:val="bullet"/>
      <w:lvlText w:val="•"/>
      <w:lvlJc w:val="left"/>
      <w:pPr>
        <w:ind w:left="6105" w:hanging="632"/>
      </w:pPr>
      <w:rPr>
        <w:rFonts w:hint="default"/>
        <w:lang w:val="zh-CN" w:eastAsia="zh-CN" w:bidi="zh-CN"/>
      </w:rPr>
    </w:lvl>
    <w:lvl w:ilvl="7" w:tentative="0">
      <w:start w:val="0"/>
      <w:numFmt w:val="bullet"/>
      <w:lvlText w:val="•"/>
      <w:lvlJc w:val="left"/>
      <w:pPr>
        <w:ind w:left="7150" w:hanging="632"/>
      </w:pPr>
      <w:rPr>
        <w:rFonts w:hint="default"/>
        <w:lang w:val="zh-CN" w:eastAsia="zh-CN" w:bidi="zh-CN"/>
      </w:rPr>
    </w:lvl>
    <w:lvl w:ilvl="8" w:tentative="0">
      <w:start w:val="0"/>
      <w:numFmt w:val="bullet"/>
      <w:lvlText w:val="•"/>
      <w:lvlJc w:val="left"/>
      <w:pPr>
        <w:ind w:left="8196" w:hanging="632"/>
      </w:pPr>
      <w:rPr>
        <w:rFonts w:hint="default"/>
        <w:lang w:val="zh-CN" w:eastAsia="zh-CN" w:bidi="zh-CN"/>
      </w:rPr>
    </w:lvl>
  </w:abstractNum>
  <w:abstractNum w:abstractNumId="37">
    <w:nsid w:val="333B0D31"/>
    <w:multiLevelType w:val="multilevel"/>
    <w:tmpl w:val="333B0D31"/>
    <w:lvl w:ilvl="0" w:tentative="0">
      <w:start w:val="1"/>
      <w:numFmt w:val="decimal"/>
      <w:lvlText w:val="（%1）"/>
      <w:lvlJc w:val="left"/>
      <w:pPr>
        <w:ind w:left="1162" w:hanging="529"/>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38">
    <w:nsid w:val="33F2174A"/>
    <w:multiLevelType w:val="multilevel"/>
    <w:tmpl w:val="33F2174A"/>
    <w:lvl w:ilvl="0" w:tentative="0">
      <w:start w:val="17"/>
      <w:numFmt w:val="decimal"/>
      <w:lvlText w:val="%1"/>
      <w:lvlJc w:val="left"/>
      <w:pPr>
        <w:ind w:left="758" w:hanging="546"/>
      </w:pPr>
      <w:rPr>
        <w:rFonts w:hint="default"/>
        <w:lang w:val="zh-CN" w:eastAsia="zh-CN" w:bidi="zh-CN"/>
      </w:rPr>
    </w:lvl>
    <w:lvl w:ilvl="1" w:tentative="0">
      <w:start w:val="5"/>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267"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65" w:hanging="635"/>
      </w:pPr>
      <w:rPr>
        <w:rFonts w:hint="default"/>
        <w:lang w:val="zh-CN" w:eastAsia="zh-CN" w:bidi="zh-CN"/>
      </w:rPr>
    </w:lvl>
    <w:lvl w:ilvl="4" w:tentative="0">
      <w:start w:val="0"/>
      <w:numFmt w:val="bullet"/>
      <w:lvlText w:val="•"/>
      <w:lvlJc w:val="left"/>
      <w:pPr>
        <w:ind w:left="4268" w:hanging="635"/>
      </w:pPr>
      <w:rPr>
        <w:rFonts w:hint="default"/>
        <w:lang w:val="zh-CN" w:eastAsia="zh-CN" w:bidi="zh-CN"/>
      </w:rPr>
    </w:lvl>
    <w:lvl w:ilvl="5" w:tentative="0">
      <w:start w:val="0"/>
      <w:numFmt w:val="bullet"/>
      <w:lvlText w:val="•"/>
      <w:lvlJc w:val="left"/>
      <w:pPr>
        <w:ind w:left="5271" w:hanging="635"/>
      </w:pPr>
      <w:rPr>
        <w:rFonts w:hint="default"/>
        <w:lang w:val="zh-CN" w:eastAsia="zh-CN" w:bidi="zh-CN"/>
      </w:rPr>
    </w:lvl>
    <w:lvl w:ilvl="6" w:tentative="0">
      <w:start w:val="0"/>
      <w:numFmt w:val="bullet"/>
      <w:lvlText w:val="•"/>
      <w:lvlJc w:val="left"/>
      <w:pPr>
        <w:ind w:left="6274" w:hanging="635"/>
      </w:pPr>
      <w:rPr>
        <w:rFonts w:hint="default"/>
        <w:lang w:val="zh-CN" w:eastAsia="zh-CN" w:bidi="zh-CN"/>
      </w:rPr>
    </w:lvl>
    <w:lvl w:ilvl="7" w:tentative="0">
      <w:start w:val="0"/>
      <w:numFmt w:val="bullet"/>
      <w:lvlText w:val="•"/>
      <w:lvlJc w:val="left"/>
      <w:pPr>
        <w:ind w:left="7277" w:hanging="635"/>
      </w:pPr>
      <w:rPr>
        <w:rFonts w:hint="default"/>
        <w:lang w:val="zh-CN" w:eastAsia="zh-CN" w:bidi="zh-CN"/>
      </w:rPr>
    </w:lvl>
    <w:lvl w:ilvl="8" w:tentative="0">
      <w:start w:val="0"/>
      <w:numFmt w:val="bullet"/>
      <w:lvlText w:val="•"/>
      <w:lvlJc w:val="left"/>
      <w:pPr>
        <w:ind w:left="8280" w:hanging="635"/>
      </w:pPr>
      <w:rPr>
        <w:rFonts w:hint="default"/>
        <w:lang w:val="zh-CN" w:eastAsia="zh-CN" w:bidi="zh-CN"/>
      </w:rPr>
    </w:lvl>
  </w:abstractNum>
  <w:abstractNum w:abstractNumId="39">
    <w:nsid w:val="34364367"/>
    <w:multiLevelType w:val="multilevel"/>
    <w:tmpl w:val="34364367"/>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40">
    <w:nsid w:val="361D2533"/>
    <w:multiLevelType w:val="multilevel"/>
    <w:tmpl w:val="361D2533"/>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4" w:hanging="529"/>
      </w:pPr>
      <w:rPr>
        <w:rFonts w:hint="default"/>
        <w:lang w:val="zh-CN" w:eastAsia="zh-CN" w:bidi="zh-CN"/>
      </w:rPr>
    </w:lvl>
    <w:lvl w:ilvl="2" w:tentative="0">
      <w:start w:val="0"/>
      <w:numFmt w:val="bullet"/>
      <w:lvlText w:val="•"/>
      <w:lvlJc w:val="left"/>
      <w:pPr>
        <w:ind w:left="2849" w:hanging="529"/>
      </w:pPr>
      <w:rPr>
        <w:rFonts w:hint="default"/>
        <w:lang w:val="zh-CN" w:eastAsia="zh-CN" w:bidi="zh-CN"/>
      </w:rPr>
    </w:lvl>
    <w:lvl w:ilvl="3" w:tentative="0">
      <w:start w:val="0"/>
      <w:numFmt w:val="bullet"/>
      <w:lvlText w:val="•"/>
      <w:lvlJc w:val="left"/>
      <w:pPr>
        <w:ind w:left="3683" w:hanging="529"/>
      </w:pPr>
      <w:rPr>
        <w:rFonts w:hint="default"/>
        <w:lang w:val="zh-CN" w:eastAsia="zh-CN" w:bidi="zh-CN"/>
      </w:rPr>
    </w:lvl>
    <w:lvl w:ilvl="4" w:tentative="0">
      <w:start w:val="0"/>
      <w:numFmt w:val="bullet"/>
      <w:lvlText w:val="•"/>
      <w:lvlJc w:val="left"/>
      <w:pPr>
        <w:ind w:left="4518"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187" w:hanging="529"/>
      </w:pPr>
      <w:rPr>
        <w:rFonts w:hint="default"/>
        <w:lang w:val="zh-CN" w:eastAsia="zh-CN" w:bidi="zh-CN"/>
      </w:rPr>
    </w:lvl>
    <w:lvl w:ilvl="7" w:tentative="0">
      <w:start w:val="0"/>
      <w:numFmt w:val="bullet"/>
      <w:lvlText w:val="•"/>
      <w:lvlJc w:val="left"/>
      <w:pPr>
        <w:ind w:left="7022" w:hanging="529"/>
      </w:pPr>
      <w:rPr>
        <w:rFonts w:hint="default"/>
        <w:lang w:val="zh-CN" w:eastAsia="zh-CN" w:bidi="zh-CN"/>
      </w:rPr>
    </w:lvl>
    <w:lvl w:ilvl="8" w:tentative="0">
      <w:start w:val="0"/>
      <w:numFmt w:val="bullet"/>
      <w:lvlText w:val="•"/>
      <w:lvlJc w:val="left"/>
      <w:pPr>
        <w:ind w:left="7857" w:hanging="529"/>
      </w:pPr>
      <w:rPr>
        <w:rFonts w:hint="default"/>
        <w:lang w:val="zh-CN" w:eastAsia="zh-CN" w:bidi="zh-CN"/>
      </w:rPr>
    </w:lvl>
  </w:abstractNum>
  <w:abstractNum w:abstractNumId="41">
    <w:nsid w:val="395537A1"/>
    <w:multiLevelType w:val="multilevel"/>
    <w:tmpl w:val="395537A1"/>
    <w:lvl w:ilvl="0" w:tentative="0">
      <w:start w:val="1"/>
      <w:numFmt w:val="decimal"/>
      <w:lvlText w:val="%1"/>
      <w:lvlJc w:val="left"/>
      <w:pPr>
        <w:ind w:left="575" w:hanging="364"/>
      </w:pPr>
      <w:rPr>
        <w:rFonts w:hint="default"/>
        <w:lang w:val="zh-CN" w:eastAsia="zh-CN" w:bidi="zh-CN"/>
      </w:rPr>
    </w:lvl>
    <w:lvl w:ilvl="1" w:tentative="0">
      <w:start w:val="6"/>
      <w:numFmt w:val="decimal"/>
      <w:lvlText w:val="%1.%2"/>
      <w:lvlJc w:val="left"/>
      <w:pPr>
        <w:ind w:left="575" w:hanging="364"/>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1162" w:hanging="529"/>
      </w:pPr>
      <w:rPr>
        <w:rFonts w:hint="default" w:ascii="宋体" w:hAnsi="宋体" w:eastAsia="宋体" w:cs="宋体"/>
        <w:w w:val="100"/>
        <w:sz w:val="19"/>
        <w:szCs w:val="19"/>
        <w:lang w:val="zh-CN" w:eastAsia="zh-CN" w:bidi="zh-CN"/>
      </w:rPr>
    </w:lvl>
    <w:lvl w:ilvl="3" w:tentative="0">
      <w:start w:val="0"/>
      <w:numFmt w:val="bullet"/>
      <w:lvlText w:val="•"/>
      <w:lvlJc w:val="left"/>
      <w:pPr>
        <w:ind w:left="3188" w:hanging="529"/>
      </w:pPr>
      <w:rPr>
        <w:rFonts w:hint="default"/>
        <w:lang w:val="zh-CN" w:eastAsia="zh-CN" w:bidi="zh-CN"/>
      </w:rPr>
    </w:lvl>
    <w:lvl w:ilvl="4" w:tentative="0">
      <w:start w:val="0"/>
      <w:numFmt w:val="bullet"/>
      <w:lvlText w:val="•"/>
      <w:lvlJc w:val="left"/>
      <w:pPr>
        <w:ind w:left="4202" w:hanging="529"/>
      </w:pPr>
      <w:rPr>
        <w:rFonts w:hint="default"/>
        <w:lang w:val="zh-CN" w:eastAsia="zh-CN" w:bidi="zh-CN"/>
      </w:rPr>
    </w:lvl>
    <w:lvl w:ilvl="5" w:tentative="0">
      <w:start w:val="0"/>
      <w:numFmt w:val="bullet"/>
      <w:lvlText w:val="•"/>
      <w:lvlJc w:val="left"/>
      <w:pPr>
        <w:ind w:left="5216" w:hanging="529"/>
      </w:pPr>
      <w:rPr>
        <w:rFonts w:hint="default"/>
        <w:lang w:val="zh-CN" w:eastAsia="zh-CN" w:bidi="zh-CN"/>
      </w:rPr>
    </w:lvl>
    <w:lvl w:ilvl="6" w:tentative="0">
      <w:start w:val="0"/>
      <w:numFmt w:val="bullet"/>
      <w:lvlText w:val="•"/>
      <w:lvlJc w:val="left"/>
      <w:pPr>
        <w:ind w:left="6230" w:hanging="529"/>
      </w:pPr>
      <w:rPr>
        <w:rFonts w:hint="default"/>
        <w:lang w:val="zh-CN" w:eastAsia="zh-CN" w:bidi="zh-CN"/>
      </w:rPr>
    </w:lvl>
    <w:lvl w:ilvl="7" w:tentative="0">
      <w:start w:val="0"/>
      <w:numFmt w:val="bullet"/>
      <w:lvlText w:val="•"/>
      <w:lvlJc w:val="left"/>
      <w:pPr>
        <w:ind w:left="7244" w:hanging="529"/>
      </w:pPr>
      <w:rPr>
        <w:rFonts w:hint="default"/>
        <w:lang w:val="zh-CN" w:eastAsia="zh-CN" w:bidi="zh-CN"/>
      </w:rPr>
    </w:lvl>
    <w:lvl w:ilvl="8" w:tentative="0">
      <w:start w:val="0"/>
      <w:numFmt w:val="bullet"/>
      <w:lvlText w:val="•"/>
      <w:lvlJc w:val="left"/>
      <w:pPr>
        <w:ind w:left="8258" w:hanging="529"/>
      </w:pPr>
      <w:rPr>
        <w:rFonts w:hint="default"/>
        <w:lang w:val="zh-CN" w:eastAsia="zh-CN" w:bidi="zh-CN"/>
      </w:rPr>
    </w:lvl>
  </w:abstractNum>
  <w:abstractNum w:abstractNumId="42">
    <w:nsid w:val="39651712"/>
    <w:multiLevelType w:val="multilevel"/>
    <w:tmpl w:val="39651712"/>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43">
    <w:nsid w:val="3967543E"/>
    <w:multiLevelType w:val="multilevel"/>
    <w:tmpl w:val="3967543E"/>
    <w:lvl w:ilvl="0" w:tentative="0">
      <w:start w:val="20"/>
      <w:numFmt w:val="decimal"/>
      <w:lvlText w:val="%1"/>
      <w:lvlJc w:val="left"/>
      <w:pPr>
        <w:ind w:left="758" w:hanging="546"/>
      </w:pPr>
      <w:rPr>
        <w:rFonts w:hint="default"/>
        <w:lang w:val="zh-CN" w:eastAsia="zh-CN" w:bidi="zh-CN"/>
      </w:rPr>
    </w:lvl>
    <w:lvl w:ilvl="1" w:tentative="0">
      <w:start w:val="1"/>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12"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876" w:hanging="635"/>
      </w:pPr>
      <w:rPr>
        <w:rFonts w:hint="default"/>
        <w:lang w:val="zh-CN" w:eastAsia="zh-CN" w:bidi="zh-CN"/>
      </w:rPr>
    </w:lvl>
    <w:lvl w:ilvl="4" w:tentative="0">
      <w:start w:val="0"/>
      <w:numFmt w:val="bullet"/>
      <w:lvlText w:val="•"/>
      <w:lvlJc w:val="left"/>
      <w:pPr>
        <w:ind w:left="3935" w:hanging="635"/>
      </w:pPr>
      <w:rPr>
        <w:rFonts w:hint="default"/>
        <w:lang w:val="zh-CN" w:eastAsia="zh-CN" w:bidi="zh-CN"/>
      </w:rPr>
    </w:lvl>
    <w:lvl w:ilvl="5" w:tentative="0">
      <w:start w:val="0"/>
      <w:numFmt w:val="bullet"/>
      <w:lvlText w:val="•"/>
      <w:lvlJc w:val="left"/>
      <w:pPr>
        <w:ind w:left="4993" w:hanging="635"/>
      </w:pPr>
      <w:rPr>
        <w:rFonts w:hint="default"/>
        <w:lang w:val="zh-CN" w:eastAsia="zh-CN" w:bidi="zh-CN"/>
      </w:rPr>
    </w:lvl>
    <w:lvl w:ilvl="6" w:tentative="0">
      <w:start w:val="0"/>
      <w:numFmt w:val="bullet"/>
      <w:lvlText w:val="•"/>
      <w:lvlJc w:val="left"/>
      <w:pPr>
        <w:ind w:left="6052" w:hanging="635"/>
      </w:pPr>
      <w:rPr>
        <w:rFonts w:hint="default"/>
        <w:lang w:val="zh-CN" w:eastAsia="zh-CN" w:bidi="zh-CN"/>
      </w:rPr>
    </w:lvl>
    <w:lvl w:ilvl="7" w:tentative="0">
      <w:start w:val="0"/>
      <w:numFmt w:val="bullet"/>
      <w:lvlText w:val="•"/>
      <w:lvlJc w:val="left"/>
      <w:pPr>
        <w:ind w:left="7110" w:hanging="635"/>
      </w:pPr>
      <w:rPr>
        <w:rFonts w:hint="default"/>
        <w:lang w:val="zh-CN" w:eastAsia="zh-CN" w:bidi="zh-CN"/>
      </w:rPr>
    </w:lvl>
    <w:lvl w:ilvl="8" w:tentative="0">
      <w:start w:val="0"/>
      <w:numFmt w:val="bullet"/>
      <w:lvlText w:val="•"/>
      <w:lvlJc w:val="left"/>
      <w:pPr>
        <w:ind w:left="8169" w:hanging="635"/>
      </w:pPr>
      <w:rPr>
        <w:rFonts w:hint="default"/>
        <w:lang w:val="zh-CN" w:eastAsia="zh-CN" w:bidi="zh-CN"/>
      </w:rPr>
    </w:lvl>
  </w:abstractNum>
  <w:abstractNum w:abstractNumId="44">
    <w:nsid w:val="39A0D9AC"/>
    <w:multiLevelType w:val="multilevel"/>
    <w:tmpl w:val="39A0D9AC"/>
    <w:lvl w:ilvl="0" w:tentative="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9" w:hanging="529"/>
      </w:pPr>
      <w:rPr>
        <w:rFonts w:hint="default"/>
        <w:lang w:val="zh-CN" w:eastAsia="zh-CN" w:bidi="zh-CN"/>
      </w:rPr>
    </w:lvl>
    <w:lvl w:ilvl="2" w:tentative="0">
      <w:start w:val="0"/>
      <w:numFmt w:val="bullet"/>
      <w:lvlText w:val="•"/>
      <w:lvlJc w:val="left"/>
      <w:pPr>
        <w:ind w:left="2899" w:hanging="529"/>
      </w:pPr>
      <w:rPr>
        <w:rFonts w:hint="default"/>
        <w:lang w:val="zh-CN" w:eastAsia="zh-CN" w:bidi="zh-CN"/>
      </w:rPr>
    </w:lvl>
    <w:lvl w:ilvl="3" w:tentative="0">
      <w:start w:val="0"/>
      <w:numFmt w:val="bullet"/>
      <w:lvlText w:val="•"/>
      <w:lvlJc w:val="left"/>
      <w:pPr>
        <w:ind w:left="3749" w:hanging="529"/>
      </w:pPr>
      <w:rPr>
        <w:rFonts w:hint="default"/>
        <w:lang w:val="zh-CN" w:eastAsia="zh-CN" w:bidi="zh-CN"/>
      </w:rPr>
    </w:lvl>
    <w:lvl w:ilvl="4" w:tentative="0">
      <w:start w:val="0"/>
      <w:numFmt w:val="bullet"/>
      <w:lvlText w:val="•"/>
      <w:lvlJc w:val="left"/>
      <w:pPr>
        <w:ind w:left="4599" w:hanging="529"/>
      </w:pPr>
      <w:rPr>
        <w:rFonts w:hint="default"/>
        <w:lang w:val="zh-CN" w:eastAsia="zh-CN" w:bidi="zh-CN"/>
      </w:rPr>
    </w:lvl>
    <w:lvl w:ilvl="5" w:tentative="0">
      <w:start w:val="0"/>
      <w:numFmt w:val="bullet"/>
      <w:lvlText w:val="•"/>
      <w:lvlJc w:val="left"/>
      <w:pPr>
        <w:ind w:left="5449" w:hanging="529"/>
      </w:pPr>
      <w:rPr>
        <w:rFonts w:hint="default"/>
        <w:lang w:val="zh-CN" w:eastAsia="zh-CN" w:bidi="zh-CN"/>
      </w:rPr>
    </w:lvl>
    <w:lvl w:ilvl="6" w:tentative="0">
      <w:start w:val="0"/>
      <w:numFmt w:val="bullet"/>
      <w:lvlText w:val="•"/>
      <w:lvlJc w:val="left"/>
      <w:pPr>
        <w:ind w:left="6299" w:hanging="529"/>
      </w:pPr>
      <w:rPr>
        <w:rFonts w:hint="default"/>
        <w:lang w:val="zh-CN" w:eastAsia="zh-CN" w:bidi="zh-CN"/>
      </w:rPr>
    </w:lvl>
    <w:lvl w:ilvl="7" w:tentative="0">
      <w:start w:val="0"/>
      <w:numFmt w:val="bullet"/>
      <w:lvlText w:val="•"/>
      <w:lvlJc w:val="left"/>
      <w:pPr>
        <w:ind w:left="7149" w:hanging="529"/>
      </w:pPr>
      <w:rPr>
        <w:rFonts w:hint="default"/>
        <w:lang w:val="zh-CN" w:eastAsia="zh-CN" w:bidi="zh-CN"/>
      </w:rPr>
    </w:lvl>
    <w:lvl w:ilvl="8" w:tentative="0">
      <w:start w:val="0"/>
      <w:numFmt w:val="bullet"/>
      <w:lvlText w:val="•"/>
      <w:lvlJc w:val="left"/>
      <w:pPr>
        <w:ind w:left="7999" w:hanging="529"/>
      </w:pPr>
      <w:rPr>
        <w:rFonts w:hint="default"/>
        <w:lang w:val="zh-CN" w:eastAsia="zh-CN" w:bidi="zh-CN"/>
      </w:rPr>
    </w:lvl>
  </w:abstractNum>
  <w:abstractNum w:abstractNumId="45">
    <w:nsid w:val="39C452F0"/>
    <w:multiLevelType w:val="multilevel"/>
    <w:tmpl w:val="39C452F0"/>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46">
    <w:nsid w:val="3CEC5DAE"/>
    <w:multiLevelType w:val="multilevel"/>
    <w:tmpl w:val="3CEC5DAE"/>
    <w:lvl w:ilvl="0" w:tentative="0">
      <w:start w:val="11"/>
      <w:numFmt w:val="decimal"/>
      <w:lvlText w:val="%1"/>
      <w:lvlJc w:val="left"/>
      <w:pPr>
        <w:ind w:left="758" w:hanging="546"/>
      </w:pPr>
      <w:rPr>
        <w:rFonts w:hint="default"/>
        <w:lang w:val="zh-CN" w:eastAsia="zh-CN" w:bidi="zh-CN"/>
      </w:rPr>
    </w:lvl>
    <w:lvl w:ilvl="1" w:tentative="0">
      <w:start w:val="4"/>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267"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65" w:hanging="635"/>
      </w:pPr>
      <w:rPr>
        <w:rFonts w:hint="default"/>
        <w:lang w:val="zh-CN" w:eastAsia="zh-CN" w:bidi="zh-CN"/>
      </w:rPr>
    </w:lvl>
    <w:lvl w:ilvl="4" w:tentative="0">
      <w:start w:val="0"/>
      <w:numFmt w:val="bullet"/>
      <w:lvlText w:val="•"/>
      <w:lvlJc w:val="left"/>
      <w:pPr>
        <w:ind w:left="4268" w:hanging="635"/>
      </w:pPr>
      <w:rPr>
        <w:rFonts w:hint="default"/>
        <w:lang w:val="zh-CN" w:eastAsia="zh-CN" w:bidi="zh-CN"/>
      </w:rPr>
    </w:lvl>
    <w:lvl w:ilvl="5" w:tentative="0">
      <w:start w:val="0"/>
      <w:numFmt w:val="bullet"/>
      <w:lvlText w:val="•"/>
      <w:lvlJc w:val="left"/>
      <w:pPr>
        <w:ind w:left="5271" w:hanging="635"/>
      </w:pPr>
      <w:rPr>
        <w:rFonts w:hint="default"/>
        <w:lang w:val="zh-CN" w:eastAsia="zh-CN" w:bidi="zh-CN"/>
      </w:rPr>
    </w:lvl>
    <w:lvl w:ilvl="6" w:tentative="0">
      <w:start w:val="0"/>
      <w:numFmt w:val="bullet"/>
      <w:lvlText w:val="•"/>
      <w:lvlJc w:val="left"/>
      <w:pPr>
        <w:ind w:left="6274" w:hanging="635"/>
      </w:pPr>
      <w:rPr>
        <w:rFonts w:hint="default"/>
        <w:lang w:val="zh-CN" w:eastAsia="zh-CN" w:bidi="zh-CN"/>
      </w:rPr>
    </w:lvl>
    <w:lvl w:ilvl="7" w:tentative="0">
      <w:start w:val="0"/>
      <w:numFmt w:val="bullet"/>
      <w:lvlText w:val="•"/>
      <w:lvlJc w:val="left"/>
      <w:pPr>
        <w:ind w:left="7277" w:hanging="635"/>
      </w:pPr>
      <w:rPr>
        <w:rFonts w:hint="default"/>
        <w:lang w:val="zh-CN" w:eastAsia="zh-CN" w:bidi="zh-CN"/>
      </w:rPr>
    </w:lvl>
    <w:lvl w:ilvl="8" w:tentative="0">
      <w:start w:val="0"/>
      <w:numFmt w:val="bullet"/>
      <w:lvlText w:val="•"/>
      <w:lvlJc w:val="left"/>
      <w:pPr>
        <w:ind w:left="8280" w:hanging="635"/>
      </w:pPr>
      <w:rPr>
        <w:rFonts w:hint="default"/>
        <w:lang w:val="zh-CN" w:eastAsia="zh-CN" w:bidi="zh-CN"/>
      </w:rPr>
    </w:lvl>
  </w:abstractNum>
  <w:abstractNum w:abstractNumId="47">
    <w:nsid w:val="41B27A3C"/>
    <w:multiLevelType w:val="multilevel"/>
    <w:tmpl w:val="41B27A3C"/>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48">
    <w:nsid w:val="42BD1622"/>
    <w:multiLevelType w:val="multilevel"/>
    <w:tmpl w:val="42BD1622"/>
    <w:lvl w:ilvl="0" w:tentative="0">
      <w:start w:val="1"/>
      <w:numFmt w:val="decimal"/>
      <w:lvlText w:val="%1."/>
      <w:lvlJc w:val="left"/>
      <w:pPr>
        <w:ind w:left="513" w:hanging="301"/>
      </w:pPr>
      <w:rPr>
        <w:rFonts w:hint="default"/>
        <w:b/>
        <w:bCs/>
        <w:w w:val="99"/>
        <w:lang w:val="zh-CN" w:eastAsia="zh-CN" w:bidi="zh-CN"/>
      </w:rPr>
    </w:lvl>
    <w:lvl w:ilvl="1" w:tentative="0">
      <w:start w:val="1"/>
      <w:numFmt w:val="decimal"/>
      <w:lvlText w:val="%1.%2"/>
      <w:lvlJc w:val="left"/>
      <w:pPr>
        <w:ind w:left="753" w:hanging="541"/>
      </w:pPr>
      <w:rPr>
        <w:rFonts w:hint="default"/>
        <w:b/>
        <w:bCs/>
        <w:w w:val="99"/>
        <w:lang w:val="zh-CN" w:eastAsia="zh-CN" w:bidi="zh-CN"/>
      </w:rPr>
    </w:lvl>
    <w:lvl w:ilvl="2" w:tentative="0">
      <w:start w:val="1"/>
      <w:numFmt w:val="decimal"/>
      <w:lvlText w:val="%1.%2.%3"/>
      <w:lvlJc w:val="left"/>
      <w:pPr>
        <w:ind w:left="1151" w:hanging="541"/>
      </w:pPr>
      <w:rPr>
        <w:rFonts w:hint="default" w:ascii="Times New Roman" w:hAnsi="Times New Roman" w:eastAsia="Times New Roman" w:cs="Times New Roman"/>
        <w:w w:val="100"/>
        <w:sz w:val="21"/>
        <w:szCs w:val="21"/>
        <w:lang w:val="zh-CN" w:eastAsia="zh-CN" w:bidi="zh-CN"/>
      </w:rPr>
    </w:lvl>
    <w:lvl w:ilvl="3" w:tentative="0">
      <w:start w:val="1"/>
      <w:numFmt w:val="decimal"/>
      <w:lvlText w:val="%1.%2.%3.%4"/>
      <w:lvlJc w:val="left"/>
      <w:pPr>
        <w:ind w:left="1318" w:hanging="541"/>
      </w:pPr>
      <w:rPr>
        <w:rFonts w:hint="default"/>
        <w:spacing w:val="-3"/>
        <w:w w:val="100"/>
        <w:lang w:val="zh-CN" w:eastAsia="zh-CN" w:bidi="zh-CN"/>
      </w:rPr>
    </w:lvl>
    <w:lvl w:ilvl="4" w:tentative="0">
      <w:start w:val="0"/>
      <w:numFmt w:val="bullet"/>
      <w:lvlText w:val="•"/>
      <w:lvlJc w:val="left"/>
      <w:pPr>
        <w:ind w:left="1060" w:hanging="541"/>
      </w:pPr>
      <w:rPr>
        <w:rFonts w:hint="default"/>
        <w:lang w:val="zh-CN" w:eastAsia="zh-CN" w:bidi="zh-CN"/>
      </w:rPr>
    </w:lvl>
    <w:lvl w:ilvl="5" w:tentative="0">
      <w:start w:val="0"/>
      <w:numFmt w:val="bullet"/>
      <w:lvlText w:val="•"/>
      <w:lvlJc w:val="left"/>
      <w:pPr>
        <w:ind w:left="1160" w:hanging="541"/>
      </w:pPr>
      <w:rPr>
        <w:rFonts w:hint="default"/>
        <w:lang w:val="zh-CN" w:eastAsia="zh-CN" w:bidi="zh-CN"/>
      </w:rPr>
    </w:lvl>
    <w:lvl w:ilvl="6" w:tentative="0">
      <w:start w:val="0"/>
      <w:numFmt w:val="bullet"/>
      <w:lvlText w:val="•"/>
      <w:lvlJc w:val="left"/>
      <w:pPr>
        <w:ind w:left="1220" w:hanging="541"/>
      </w:pPr>
      <w:rPr>
        <w:rFonts w:hint="default"/>
        <w:lang w:val="zh-CN" w:eastAsia="zh-CN" w:bidi="zh-CN"/>
      </w:rPr>
    </w:lvl>
    <w:lvl w:ilvl="7" w:tentative="0">
      <w:start w:val="0"/>
      <w:numFmt w:val="bullet"/>
      <w:lvlText w:val="•"/>
      <w:lvlJc w:val="left"/>
      <w:pPr>
        <w:ind w:left="1260" w:hanging="541"/>
      </w:pPr>
      <w:rPr>
        <w:rFonts w:hint="default"/>
        <w:lang w:val="zh-CN" w:eastAsia="zh-CN" w:bidi="zh-CN"/>
      </w:rPr>
    </w:lvl>
    <w:lvl w:ilvl="8" w:tentative="0">
      <w:start w:val="0"/>
      <w:numFmt w:val="bullet"/>
      <w:lvlText w:val="•"/>
      <w:lvlJc w:val="left"/>
      <w:pPr>
        <w:ind w:left="1320" w:hanging="541"/>
      </w:pPr>
      <w:rPr>
        <w:rFonts w:hint="default"/>
        <w:lang w:val="zh-CN" w:eastAsia="zh-CN" w:bidi="zh-CN"/>
      </w:rPr>
    </w:lvl>
  </w:abstractNum>
  <w:abstractNum w:abstractNumId="49">
    <w:nsid w:val="42D52810"/>
    <w:multiLevelType w:val="multilevel"/>
    <w:tmpl w:val="42D52810"/>
    <w:lvl w:ilvl="0" w:tentative="0">
      <w:start w:val="2"/>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50">
    <w:nsid w:val="443740FA"/>
    <w:multiLevelType w:val="multilevel"/>
    <w:tmpl w:val="443740FA"/>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51">
    <w:nsid w:val="45AE66A9"/>
    <w:multiLevelType w:val="multilevel"/>
    <w:tmpl w:val="45AE66A9"/>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52">
    <w:nsid w:val="46476506"/>
    <w:multiLevelType w:val="multilevel"/>
    <w:tmpl w:val="46476506"/>
    <w:lvl w:ilvl="0" w:tentative="0">
      <w:start w:val="1"/>
      <w:numFmt w:val="decimal"/>
      <w:lvlText w:val="%1."/>
      <w:lvlJc w:val="left"/>
      <w:pPr>
        <w:ind w:left="1322" w:hanging="250"/>
      </w:pPr>
      <w:rPr>
        <w:rFonts w:hint="default" w:ascii="Times New Roman" w:hAnsi="Times New Roman" w:eastAsia="Times New Roman" w:cs="Times New Roman"/>
        <w:spacing w:val="-5"/>
        <w:w w:val="100"/>
        <w:sz w:val="21"/>
        <w:szCs w:val="21"/>
        <w:lang w:val="zh-CN" w:eastAsia="zh-CN" w:bidi="zh-CN"/>
      </w:rPr>
    </w:lvl>
    <w:lvl w:ilvl="1" w:tentative="0">
      <w:start w:val="0"/>
      <w:numFmt w:val="bullet"/>
      <w:lvlText w:val="•"/>
      <w:lvlJc w:val="left"/>
      <w:pPr>
        <w:ind w:left="2216" w:hanging="250"/>
      </w:pPr>
      <w:rPr>
        <w:rFonts w:hint="default"/>
        <w:lang w:val="zh-CN" w:eastAsia="zh-CN" w:bidi="zh-CN"/>
      </w:rPr>
    </w:lvl>
    <w:lvl w:ilvl="2" w:tentative="0">
      <w:start w:val="0"/>
      <w:numFmt w:val="bullet"/>
      <w:lvlText w:val="•"/>
      <w:lvlJc w:val="left"/>
      <w:pPr>
        <w:ind w:left="3113" w:hanging="250"/>
      </w:pPr>
      <w:rPr>
        <w:rFonts w:hint="default"/>
        <w:lang w:val="zh-CN" w:eastAsia="zh-CN" w:bidi="zh-CN"/>
      </w:rPr>
    </w:lvl>
    <w:lvl w:ilvl="3" w:tentative="0">
      <w:start w:val="0"/>
      <w:numFmt w:val="bullet"/>
      <w:lvlText w:val="•"/>
      <w:lvlJc w:val="left"/>
      <w:pPr>
        <w:ind w:left="4009" w:hanging="250"/>
      </w:pPr>
      <w:rPr>
        <w:rFonts w:hint="default"/>
        <w:lang w:val="zh-CN" w:eastAsia="zh-CN" w:bidi="zh-CN"/>
      </w:rPr>
    </w:lvl>
    <w:lvl w:ilvl="4" w:tentative="0">
      <w:start w:val="0"/>
      <w:numFmt w:val="bullet"/>
      <w:lvlText w:val="•"/>
      <w:lvlJc w:val="left"/>
      <w:pPr>
        <w:ind w:left="4906" w:hanging="250"/>
      </w:pPr>
      <w:rPr>
        <w:rFonts w:hint="default"/>
        <w:lang w:val="zh-CN" w:eastAsia="zh-CN" w:bidi="zh-CN"/>
      </w:rPr>
    </w:lvl>
    <w:lvl w:ilvl="5" w:tentative="0">
      <w:start w:val="0"/>
      <w:numFmt w:val="bullet"/>
      <w:lvlText w:val="•"/>
      <w:lvlJc w:val="left"/>
      <w:pPr>
        <w:ind w:left="5803" w:hanging="250"/>
      </w:pPr>
      <w:rPr>
        <w:rFonts w:hint="default"/>
        <w:lang w:val="zh-CN" w:eastAsia="zh-CN" w:bidi="zh-CN"/>
      </w:rPr>
    </w:lvl>
    <w:lvl w:ilvl="6" w:tentative="0">
      <w:start w:val="0"/>
      <w:numFmt w:val="bullet"/>
      <w:lvlText w:val="•"/>
      <w:lvlJc w:val="left"/>
      <w:pPr>
        <w:ind w:left="6699" w:hanging="250"/>
      </w:pPr>
      <w:rPr>
        <w:rFonts w:hint="default"/>
        <w:lang w:val="zh-CN" w:eastAsia="zh-CN" w:bidi="zh-CN"/>
      </w:rPr>
    </w:lvl>
    <w:lvl w:ilvl="7" w:tentative="0">
      <w:start w:val="0"/>
      <w:numFmt w:val="bullet"/>
      <w:lvlText w:val="•"/>
      <w:lvlJc w:val="left"/>
      <w:pPr>
        <w:ind w:left="7596" w:hanging="250"/>
      </w:pPr>
      <w:rPr>
        <w:rFonts w:hint="default"/>
        <w:lang w:val="zh-CN" w:eastAsia="zh-CN" w:bidi="zh-CN"/>
      </w:rPr>
    </w:lvl>
    <w:lvl w:ilvl="8" w:tentative="0">
      <w:start w:val="0"/>
      <w:numFmt w:val="bullet"/>
      <w:lvlText w:val="•"/>
      <w:lvlJc w:val="left"/>
      <w:pPr>
        <w:ind w:left="8493" w:hanging="250"/>
      </w:pPr>
      <w:rPr>
        <w:rFonts w:hint="default"/>
        <w:lang w:val="zh-CN" w:eastAsia="zh-CN" w:bidi="zh-CN"/>
      </w:rPr>
    </w:lvl>
  </w:abstractNum>
  <w:abstractNum w:abstractNumId="53">
    <w:nsid w:val="48B04BF6"/>
    <w:multiLevelType w:val="multilevel"/>
    <w:tmpl w:val="48B04BF6"/>
    <w:lvl w:ilvl="0" w:tentative="0">
      <w:start w:val="1"/>
      <w:numFmt w:val="decimal"/>
      <w:lvlText w:val="%1."/>
      <w:lvlJc w:val="left"/>
      <w:pPr>
        <w:ind w:left="1385" w:hanging="313"/>
      </w:pPr>
      <w:rPr>
        <w:rFonts w:hint="default" w:ascii="Times New Roman" w:hAnsi="Times New Roman" w:eastAsia="Times New Roman" w:cs="Times New Roman"/>
        <w:spacing w:val="-10"/>
        <w:w w:val="100"/>
        <w:sz w:val="19"/>
        <w:szCs w:val="19"/>
        <w:lang w:val="zh-CN" w:eastAsia="zh-CN" w:bidi="zh-CN"/>
      </w:rPr>
    </w:lvl>
    <w:lvl w:ilvl="1" w:tentative="0">
      <w:start w:val="0"/>
      <w:numFmt w:val="bullet"/>
      <w:lvlText w:val="•"/>
      <w:lvlJc w:val="left"/>
      <w:pPr>
        <w:ind w:left="2270" w:hanging="313"/>
      </w:pPr>
      <w:rPr>
        <w:rFonts w:hint="default"/>
        <w:lang w:val="zh-CN" w:eastAsia="zh-CN" w:bidi="zh-CN"/>
      </w:rPr>
    </w:lvl>
    <w:lvl w:ilvl="2" w:tentative="0">
      <w:start w:val="0"/>
      <w:numFmt w:val="bullet"/>
      <w:lvlText w:val="•"/>
      <w:lvlJc w:val="left"/>
      <w:pPr>
        <w:ind w:left="3161" w:hanging="313"/>
      </w:pPr>
      <w:rPr>
        <w:rFonts w:hint="default"/>
        <w:lang w:val="zh-CN" w:eastAsia="zh-CN" w:bidi="zh-CN"/>
      </w:rPr>
    </w:lvl>
    <w:lvl w:ilvl="3" w:tentative="0">
      <w:start w:val="0"/>
      <w:numFmt w:val="bullet"/>
      <w:lvlText w:val="•"/>
      <w:lvlJc w:val="left"/>
      <w:pPr>
        <w:ind w:left="4051" w:hanging="313"/>
      </w:pPr>
      <w:rPr>
        <w:rFonts w:hint="default"/>
        <w:lang w:val="zh-CN" w:eastAsia="zh-CN" w:bidi="zh-CN"/>
      </w:rPr>
    </w:lvl>
    <w:lvl w:ilvl="4" w:tentative="0">
      <w:start w:val="0"/>
      <w:numFmt w:val="bullet"/>
      <w:lvlText w:val="•"/>
      <w:lvlJc w:val="left"/>
      <w:pPr>
        <w:ind w:left="4942" w:hanging="313"/>
      </w:pPr>
      <w:rPr>
        <w:rFonts w:hint="default"/>
        <w:lang w:val="zh-CN" w:eastAsia="zh-CN" w:bidi="zh-CN"/>
      </w:rPr>
    </w:lvl>
    <w:lvl w:ilvl="5" w:tentative="0">
      <w:start w:val="0"/>
      <w:numFmt w:val="bullet"/>
      <w:lvlText w:val="•"/>
      <w:lvlJc w:val="left"/>
      <w:pPr>
        <w:ind w:left="5833" w:hanging="313"/>
      </w:pPr>
      <w:rPr>
        <w:rFonts w:hint="default"/>
        <w:lang w:val="zh-CN" w:eastAsia="zh-CN" w:bidi="zh-CN"/>
      </w:rPr>
    </w:lvl>
    <w:lvl w:ilvl="6" w:tentative="0">
      <w:start w:val="0"/>
      <w:numFmt w:val="bullet"/>
      <w:lvlText w:val="•"/>
      <w:lvlJc w:val="left"/>
      <w:pPr>
        <w:ind w:left="6723" w:hanging="313"/>
      </w:pPr>
      <w:rPr>
        <w:rFonts w:hint="default"/>
        <w:lang w:val="zh-CN" w:eastAsia="zh-CN" w:bidi="zh-CN"/>
      </w:rPr>
    </w:lvl>
    <w:lvl w:ilvl="7" w:tentative="0">
      <w:start w:val="0"/>
      <w:numFmt w:val="bullet"/>
      <w:lvlText w:val="•"/>
      <w:lvlJc w:val="left"/>
      <w:pPr>
        <w:ind w:left="7614" w:hanging="313"/>
      </w:pPr>
      <w:rPr>
        <w:rFonts w:hint="default"/>
        <w:lang w:val="zh-CN" w:eastAsia="zh-CN" w:bidi="zh-CN"/>
      </w:rPr>
    </w:lvl>
    <w:lvl w:ilvl="8" w:tentative="0">
      <w:start w:val="0"/>
      <w:numFmt w:val="bullet"/>
      <w:lvlText w:val="•"/>
      <w:lvlJc w:val="left"/>
      <w:pPr>
        <w:ind w:left="8505" w:hanging="313"/>
      </w:pPr>
      <w:rPr>
        <w:rFonts w:hint="default"/>
        <w:lang w:val="zh-CN" w:eastAsia="zh-CN" w:bidi="zh-CN"/>
      </w:rPr>
    </w:lvl>
  </w:abstractNum>
  <w:abstractNum w:abstractNumId="54">
    <w:nsid w:val="4B6F2201"/>
    <w:multiLevelType w:val="multilevel"/>
    <w:tmpl w:val="4B6F2201"/>
    <w:lvl w:ilvl="0" w:tentative="0">
      <w:start w:val="4"/>
      <w:numFmt w:val="decimal"/>
      <w:lvlText w:val="%1"/>
      <w:lvlJc w:val="left"/>
      <w:pPr>
        <w:ind w:left="575" w:hanging="364"/>
      </w:pPr>
      <w:rPr>
        <w:rFonts w:hint="default"/>
        <w:lang w:val="zh-CN" w:eastAsia="zh-CN" w:bidi="zh-CN"/>
      </w:rPr>
    </w:lvl>
    <w:lvl w:ilvl="1" w:tentative="0">
      <w:start w:val="6"/>
      <w:numFmt w:val="decimal"/>
      <w:lvlText w:val="%1.%2"/>
      <w:lvlJc w:val="left"/>
      <w:pPr>
        <w:ind w:left="575" w:hanging="364"/>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212"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2736" w:hanging="579"/>
      </w:pPr>
      <w:rPr>
        <w:rFonts w:hint="default"/>
        <w:lang w:val="zh-CN" w:eastAsia="zh-CN" w:bidi="zh-CN"/>
      </w:rPr>
    </w:lvl>
    <w:lvl w:ilvl="4" w:tentative="0">
      <w:start w:val="0"/>
      <w:numFmt w:val="bullet"/>
      <w:lvlText w:val="•"/>
      <w:lvlJc w:val="left"/>
      <w:pPr>
        <w:ind w:left="3815" w:hanging="579"/>
      </w:pPr>
      <w:rPr>
        <w:rFonts w:hint="default"/>
        <w:lang w:val="zh-CN" w:eastAsia="zh-CN" w:bidi="zh-CN"/>
      </w:rPr>
    </w:lvl>
    <w:lvl w:ilvl="5" w:tentative="0">
      <w:start w:val="0"/>
      <w:numFmt w:val="bullet"/>
      <w:lvlText w:val="•"/>
      <w:lvlJc w:val="left"/>
      <w:pPr>
        <w:ind w:left="4893" w:hanging="579"/>
      </w:pPr>
      <w:rPr>
        <w:rFonts w:hint="default"/>
        <w:lang w:val="zh-CN" w:eastAsia="zh-CN" w:bidi="zh-CN"/>
      </w:rPr>
    </w:lvl>
    <w:lvl w:ilvl="6" w:tentative="0">
      <w:start w:val="0"/>
      <w:numFmt w:val="bullet"/>
      <w:lvlText w:val="•"/>
      <w:lvlJc w:val="left"/>
      <w:pPr>
        <w:ind w:left="5972" w:hanging="579"/>
      </w:pPr>
      <w:rPr>
        <w:rFonts w:hint="default"/>
        <w:lang w:val="zh-CN" w:eastAsia="zh-CN" w:bidi="zh-CN"/>
      </w:rPr>
    </w:lvl>
    <w:lvl w:ilvl="7" w:tentative="0">
      <w:start w:val="0"/>
      <w:numFmt w:val="bullet"/>
      <w:lvlText w:val="•"/>
      <w:lvlJc w:val="left"/>
      <w:pPr>
        <w:ind w:left="7050" w:hanging="579"/>
      </w:pPr>
      <w:rPr>
        <w:rFonts w:hint="default"/>
        <w:lang w:val="zh-CN" w:eastAsia="zh-CN" w:bidi="zh-CN"/>
      </w:rPr>
    </w:lvl>
    <w:lvl w:ilvl="8" w:tentative="0">
      <w:start w:val="0"/>
      <w:numFmt w:val="bullet"/>
      <w:lvlText w:val="•"/>
      <w:lvlJc w:val="left"/>
      <w:pPr>
        <w:ind w:left="8129" w:hanging="579"/>
      </w:pPr>
      <w:rPr>
        <w:rFonts w:hint="default"/>
        <w:lang w:val="zh-CN" w:eastAsia="zh-CN" w:bidi="zh-CN"/>
      </w:rPr>
    </w:lvl>
  </w:abstractNum>
  <w:abstractNum w:abstractNumId="55">
    <w:nsid w:val="4BB806A1"/>
    <w:multiLevelType w:val="multilevel"/>
    <w:tmpl w:val="4BB806A1"/>
    <w:lvl w:ilvl="0" w:tentative="0">
      <w:start w:val="20"/>
      <w:numFmt w:val="decimal"/>
      <w:lvlText w:val="%1"/>
      <w:lvlJc w:val="left"/>
      <w:pPr>
        <w:ind w:left="758" w:hanging="546"/>
      </w:pPr>
      <w:rPr>
        <w:rFonts w:hint="default"/>
        <w:lang w:val="zh-CN" w:eastAsia="zh-CN" w:bidi="zh-CN"/>
      </w:rPr>
    </w:lvl>
    <w:lvl w:ilvl="1" w:tentative="0">
      <w:start w:val="4"/>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267" w:hanging="635"/>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65" w:hanging="635"/>
      </w:pPr>
      <w:rPr>
        <w:rFonts w:hint="default"/>
        <w:lang w:val="zh-CN" w:eastAsia="zh-CN" w:bidi="zh-CN"/>
      </w:rPr>
    </w:lvl>
    <w:lvl w:ilvl="4" w:tentative="0">
      <w:start w:val="0"/>
      <w:numFmt w:val="bullet"/>
      <w:lvlText w:val="•"/>
      <w:lvlJc w:val="left"/>
      <w:pPr>
        <w:ind w:left="4268" w:hanging="635"/>
      </w:pPr>
      <w:rPr>
        <w:rFonts w:hint="default"/>
        <w:lang w:val="zh-CN" w:eastAsia="zh-CN" w:bidi="zh-CN"/>
      </w:rPr>
    </w:lvl>
    <w:lvl w:ilvl="5" w:tentative="0">
      <w:start w:val="0"/>
      <w:numFmt w:val="bullet"/>
      <w:lvlText w:val="•"/>
      <w:lvlJc w:val="left"/>
      <w:pPr>
        <w:ind w:left="5271" w:hanging="635"/>
      </w:pPr>
      <w:rPr>
        <w:rFonts w:hint="default"/>
        <w:lang w:val="zh-CN" w:eastAsia="zh-CN" w:bidi="zh-CN"/>
      </w:rPr>
    </w:lvl>
    <w:lvl w:ilvl="6" w:tentative="0">
      <w:start w:val="0"/>
      <w:numFmt w:val="bullet"/>
      <w:lvlText w:val="•"/>
      <w:lvlJc w:val="left"/>
      <w:pPr>
        <w:ind w:left="6274" w:hanging="635"/>
      </w:pPr>
      <w:rPr>
        <w:rFonts w:hint="default"/>
        <w:lang w:val="zh-CN" w:eastAsia="zh-CN" w:bidi="zh-CN"/>
      </w:rPr>
    </w:lvl>
    <w:lvl w:ilvl="7" w:tentative="0">
      <w:start w:val="0"/>
      <w:numFmt w:val="bullet"/>
      <w:lvlText w:val="•"/>
      <w:lvlJc w:val="left"/>
      <w:pPr>
        <w:ind w:left="7277" w:hanging="635"/>
      </w:pPr>
      <w:rPr>
        <w:rFonts w:hint="default"/>
        <w:lang w:val="zh-CN" w:eastAsia="zh-CN" w:bidi="zh-CN"/>
      </w:rPr>
    </w:lvl>
    <w:lvl w:ilvl="8" w:tentative="0">
      <w:start w:val="0"/>
      <w:numFmt w:val="bullet"/>
      <w:lvlText w:val="•"/>
      <w:lvlJc w:val="left"/>
      <w:pPr>
        <w:ind w:left="8280" w:hanging="635"/>
      </w:pPr>
      <w:rPr>
        <w:rFonts w:hint="default"/>
        <w:lang w:val="zh-CN" w:eastAsia="zh-CN" w:bidi="zh-CN"/>
      </w:rPr>
    </w:lvl>
  </w:abstractNum>
  <w:abstractNum w:abstractNumId="56">
    <w:nsid w:val="4CAA4EBC"/>
    <w:multiLevelType w:val="multilevel"/>
    <w:tmpl w:val="4CAA4EBC"/>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57">
    <w:nsid w:val="4EFD7FC1"/>
    <w:multiLevelType w:val="multilevel"/>
    <w:tmpl w:val="4EFD7FC1"/>
    <w:lvl w:ilvl="0" w:tentative="0">
      <w:start w:val="6"/>
      <w:numFmt w:val="decimal"/>
      <w:lvlText w:val="%1"/>
      <w:lvlJc w:val="left"/>
      <w:pPr>
        <w:ind w:left="633" w:hanging="421"/>
      </w:pPr>
      <w:rPr>
        <w:rFonts w:hint="default"/>
        <w:lang w:val="zh-CN" w:eastAsia="zh-CN" w:bidi="zh-CN"/>
      </w:rPr>
    </w:lvl>
    <w:lvl w:ilvl="1" w:tentative="0">
      <w:start w:val="2"/>
      <w:numFmt w:val="decimal"/>
      <w:lvlText w:val="%1.%2"/>
      <w:lvlJc w:val="left"/>
      <w:pPr>
        <w:ind w:left="633" w:hanging="421"/>
      </w:pPr>
      <w:rPr>
        <w:rFonts w:hint="default" w:ascii="Times New Roman" w:hAnsi="Times New Roman" w:eastAsia="Times New Roman" w:cs="Times New Roman"/>
        <w:b/>
        <w:bCs/>
        <w:spacing w:val="-2"/>
        <w:w w:val="99"/>
        <w:sz w:val="24"/>
        <w:szCs w:val="24"/>
        <w:lang w:val="zh-CN" w:eastAsia="zh-CN" w:bidi="zh-CN"/>
      </w:rPr>
    </w:lvl>
    <w:lvl w:ilvl="2" w:tentative="0">
      <w:start w:val="1"/>
      <w:numFmt w:val="decimal"/>
      <w:lvlText w:val="%1.%2.%3"/>
      <w:lvlJc w:val="left"/>
      <w:pPr>
        <w:ind w:left="212" w:hanging="424"/>
      </w:pPr>
      <w:rPr>
        <w:rFonts w:hint="default" w:ascii="Times New Roman" w:hAnsi="Times New Roman" w:eastAsia="Times New Roman" w:cs="Times New Roman"/>
        <w:w w:val="100"/>
        <w:sz w:val="19"/>
        <w:szCs w:val="19"/>
        <w:lang w:val="zh-CN" w:eastAsia="zh-CN" w:bidi="zh-CN"/>
      </w:rPr>
    </w:lvl>
    <w:lvl w:ilvl="3" w:tentative="0">
      <w:start w:val="0"/>
      <w:numFmt w:val="bullet"/>
      <w:lvlText w:val="•"/>
      <w:lvlJc w:val="left"/>
      <w:pPr>
        <w:ind w:left="2783" w:hanging="424"/>
      </w:pPr>
      <w:rPr>
        <w:rFonts w:hint="default"/>
        <w:lang w:val="zh-CN" w:eastAsia="zh-CN" w:bidi="zh-CN"/>
      </w:rPr>
    </w:lvl>
    <w:lvl w:ilvl="4" w:tentative="0">
      <w:start w:val="0"/>
      <w:numFmt w:val="bullet"/>
      <w:lvlText w:val="•"/>
      <w:lvlJc w:val="left"/>
      <w:pPr>
        <w:ind w:left="3855" w:hanging="424"/>
      </w:pPr>
      <w:rPr>
        <w:rFonts w:hint="default"/>
        <w:lang w:val="zh-CN" w:eastAsia="zh-CN" w:bidi="zh-CN"/>
      </w:rPr>
    </w:lvl>
    <w:lvl w:ilvl="5" w:tentative="0">
      <w:start w:val="0"/>
      <w:numFmt w:val="bullet"/>
      <w:lvlText w:val="•"/>
      <w:lvlJc w:val="left"/>
      <w:pPr>
        <w:ind w:left="4927" w:hanging="424"/>
      </w:pPr>
      <w:rPr>
        <w:rFonts w:hint="default"/>
        <w:lang w:val="zh-CN" w:eastAsia="zh-CN" w:bidi="zh-CN"/>
      </w:rPr>
    </w:lvl>
    <w:lvl w:ilvl="6" w:tentative="0">
      <w:start w:val="0"/>
      <w:numFmt w:val="bullet"/>
      <w:lvlText w:val="•"/>
      <w:lvlJc w:val="left"/>
      <w:pPr>
        <w:ind w:left="5999" w:hanging="424"/>
      </w:pPr>
      <w:rPr>
        <w:rFonts w:hint="default"/>
        <w:lang w:val="zh-CN" w:eastAsia="zh-CN" w:bidi="zh-CN"/>
      </w:rPr>
    </w:lvl>
    <w:lvl w:ilvl="7" w:tentative="0">
      <w:start w:val="0"/>
      <w:numFmt w:val="bullet"/>
      <w:lvlText w:val="•"/>
      <w:lvlJc w:val="left"/>
      <w:pPr>
        <w:ind w:left="7070" w:hanging="424"/>
      </w:pPr>
      <w:rPr>
        <w:rFonts w:hint="default"/>
        <w:lang w:val="zh-CN" w:eastAsia="zh-CN" w:bidi="zh-CN"/>
      </w:rPr>
    </w:lvl>
    <w:lvl w:ilvl="8" w:tentative="0">
      <w:start w:val="0"/>
      <w:numFmt w:val="bullet"/>
      <w:lvlText w:val="•"/>
      <w:lvlJc w:val="left"/>
      <w:pPr>
        <w:ind w:left="8142" w:hanging="424"/>
      </w:pPr>
      <w:rPr>
        <w:rFonts w:hint="default"/>
        <w:lang w:val="zh-CN" w:eastAsia="zh-CN" w:bidi="zh-CN"/>
      </w:rPr>
    </w:lvl>
  </w:abstractNum>
  <w:abstractNum w:abstractNumId="58">
    <w:nsid w:val="52972CF8"/>
    <w:multiLevelType w:val="multilevel"/>
    <w:tmpl w:val="52972CF8"/>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59">
    <w:nsid w:val="53553DAB"/>
    <w:multiLevelType w:val="multilevel"/>
    <w:tmpl w:val="53553DAB"/>
    <w:lvl w:ilvl="0" w:tentative="0">
      <w:start w:val="1"/>
      <w:numFmt w:val="decimal"/>
      <w:lvlText w:val="（%1）"/>
      <w:lvlJc w:val="left"/>
      <w:pPr>
        <w:ind w:left="112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60" w:hanging="529"/>
      </w:pPr>
      <w:rPr>
        <w:rFonts w:hint="default"/>
        <w:lang w:val="zh-CN" w:eastAsia="zh-CN" w:bidi="zh-CN"/>
      </w:rPr>
    </w:lvl>
    <w:lvl w:ilvl="2" w:tentative="0">
      <w:start w:val="0"/>
      <w:numFmt w:val="bullet"/>
      <w:lvlText w:val="•"/>
      <w:lvlJc w:val="left"/>
      <w:pPr>
        <w:ind w:left="2801" w:hanging="529"/>
      </w:pPr>
      <w:rPr>
        <w:rFonts w:hint="default"/>
        <w:lang w:val="zh-CN" w:eastAsia="zh-CN" w:bidi="zh-CN"/>
      </w:rPr>
    </w:lvl>
    <w:lvl w:ilvl="3" w:tentative="0">
      <w:start w:val="0"/>
      <w:numFmt w:val="bullet"/>
      <w:lvlText w:val="•"/>
      <w:lvlJc w:val="left"/>
      <w:pPr>
        <w:ind w:left="3641" w:hanging="529"/>
      </w:pPr>
      <w:rPr>
        <w:rFonts w:hint="default"/>
        <w:lang w:val="zh-CN" w:eastAsia="zh-CN" w:bidi="zh-CN"/>
      </w:rPr>
    </w:lvl>
    <w:lvl w:ilvl="4" w:tentative="0">
      <w:start w:val="0"/>
      <w:numFmt w:val="bullet"/>
      <w:lvlText w:val="•"/>
      <w:lvlJc w:val="left"/>
      <w:pPr>
        <w:ind w:left="4482" w:hanging="529"/>
      </w:pPr>
      <w:rPr>
        <w:rFonts w:hint="default"/>
        <w:lang w:val="zh-CN" w:eastAsia="zh-CN" w:bidi="zh-CN"/>
      </w:rPr>
    </w:lvl>
    <w:lvl w:ilvl="5" w:tentative="0">
      <w:start w:val="0"/>
      <w:numFmt w:val="bullet"/>
      <w:lvlText w:val="•"/>
      <w:lvlJc w:val="left"/>
      <w:pPr>
        <w:ind w:left="5323" w:hanging="529"/>
      </w:pPr>
      <w:rPr>
        <w:rFonts w:hint="default"/>
        <w:lang w:val="zh-CN" w:eastAsia="zh-CN" w:bidi="zh-CN"/>
      </w:rPr>
    </w:lvl>
    <w:lvl w:ilvl="6" w:tentative="0">
      <w:start w:val="0"/>
      <w:numFmt w:val="bullet"/>
      <w:lvlText w:val="•"/>
      <w:lvlJc w:val="left"/>
      <w:pPr>
        <w:ind w:left="6163" w:hanging="529"/>
      </w:pPr>
      <w:rPr>
        <w:rFonts w:hint="default"/>
        <w:lang w:val="zh-CN" w:eastAsia="zh-CN" w:bidi="zh-CN"/>
      </w:rPr>
    </w:lvl>
    <w:lvl w:ilvl="7" w:tentative="0">
      <w:start w:val="0"/>
      <w:numFmt w:val="bullet"/>
      <w:lvlText w:val="•"/>
      <w:lvlJc w:val="left"/>
      <w:pPr>
        <w:ind w:left="7004" w:hanging="529"/>
      </w:pPr>
      <w:rPr>
        <w:rFonts w:hint="default"/>
        <w:lang w:val="zh-CN" w:eastAsia="zh-CN" w:bidi="zh-CN"/>
      </w:rPr>
    </w:lvl>
    <w:lvl w:ilvl="8" w:tentative="0">
      <w:start w:val="0"/>
      <w:numFmt w:val="bullet"/>
      <w:lvlText w:val="•"/>
      <w:lvlJc w:val="left"/>
      <w:pPr>
        <w:ind w:left="7845" w:hanging="529"/>
      </w:pPr>
      <w:rPr>
        <w:rFonts w:hint="default"/>
        <w:lang w:val="zh-CN" w:eastAsia="zh-CN" w:bidi="zh-CN"/>
      </w:rPr>
    </w:lvl>
  </w:abstractNum>
  <w:abstractNum w:abstractNumId="60">
    <w:nsid w:val="55142EB1"/>
    <w:multiLevelType w:val="multilevel"/>
    <w:tmpl w:val="55142EB1"/>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61">
    <w:nsid w:val="554175DE"/>
    <w:multiLevelType w:val="multilevel"/>
    <w:tmpl w:val="554175DE"/>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62">
    <w:nsid w:val="56276853"/>
    <w:multiLevelType w:val="multilevel"/>
    <w:tmpl w:val="56276853"/>
    <w:lvl w:ilvl="0" w:tentative="0">
      <w:start w:val="1"/>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4" w:hanging="529"/>
      </w:pPr>
      <w:rPr>
        <w:rFonts w:hint="default"/>
        <w:lang w:val="zh-CN" w:eastAsia="zh-CN" w:bidi="zh-CN"/>
      </w:rPr>
    </w:lvl>
    <w:lvl w:ilvl="2" w:tentative="0">
      <w:start w:val="0"/>
      <w:numFmt w:val="bullet"/>
      <w:lvlText w:val="•"/>
      <w:lvlJc w:val="left"/>
      <w:pPr>
        <w:ind w:left="2849" w:hanging="529"/>
      </w:pPr>
      <w:rPr>
        <w:rFonts w:hint="default"/>
        <w:lang w:val="zh-CN" w:eastAsia="zh-CN" w:bidi="zh-CN"/>
      </w:rPr>
    </w:lvl>
    <w:lvl w:ilvl="3" w:tentative="0">
      <w:start w:val="0"/>
      <w:numFmt w:val="bullet"/>
      <w:lvlText w:val="•"/>
      <w:lvlJc w:val="left"/>
      <w:pPr>
        <w:ind w:left="3683" w:hanging="529"/>
      </w:pPr>
      <w:rPr>
        <w:rFonts w:hint="default"/>
        <w:lang w:val="zh-CN" w:eastAsia="zh-CN" w:bidi="zh-CN"/>
      </w:rPr>
    </w:lvl>
    <w:lvl w:ilvl="4" w:tentative="0">
      <w:start w:val="0"/>
      <w:numFmt w:val="bullet"/>
      <w:lvlText w:val="•"/>
      <w:lvlJc w:val="left"/>
      <w:pPr>
        <w:ind w:left="4518"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187" w:hanging="529"/>
      </w:pPr>
      <w:rPr>
        <w:rFonts w:hint="default"/>
        <w:lang w:val="zh-CN" w:eastAsia="zh-CN" w:bidi="zh-CN"/>
      </w:rPr>
    </w:lvl>
    <w:lvl w:ilvl="7" w:tentative="0">
      <w:start w:val="0"/>
      <w:numFmt w:val="bullet"/>
      <w:lvlText w:val="•"/>
      <w:lvlJc w:val="left"/>
      <w:pPr>
        <w:ind w:left="7022" w:hanging="529"/>
      </w:pPr>
      <w:rPr>
        <w:rFonts w:hint="default"/>
        <w:lang w:val="zh-CN" w:eastAsia="zh-CN" w:bidi="zh-CN"/>
      </w:rPr>
    </w:lvl>
    <w:lvl w:ilvl="8" w:tentative="0">
      <w:start w:val="0"/>
      <w:numFmt w:val="bullet"/>
      <w:lvlText w:val="•"/>
      <w:lvlJc w:val="left"/>
      <w:pPr>
        <w:ind w:left="7857" w:hanging="529"/>
      </w:pPr>
      <w:rPr>
        <w:rFonts w:hint="default"/>
        <w:lang w:val="zh-CN" w:eastAsia="zh-CN" w:bidi="zh-CN"/>
      </w:rPr>
    </w:lvl>
  </w:abstractNum>
  <w:abstractNum w:abstractNumId="63">
    <w:nsid w:val="58765686"/>
    <w:multiLevelType w:val="multilevel"/>
    <w:tmpl w:val="58765686"/>
    <w:lvl w:ilvl="0" w:tentative="0">
      <w:start w:val="3"/>
      <w:numFmt w:val="decimal"/>
      <w:lvlText w:val="%1"/>
      <w:lvlJc w:val="left"/>
      <w:pPr>
        <w:ind w:left="1209" w:hanging="529"/>
        <w:jc w:val="left"/>
      </w:pPr>
      <w:rPr>
        <w:rFonts w:hint="default"/>
        <w:lang w:val="zh-CN" w:eastAsia="zh-CN" w:bidi="zh-CN"/>
      </w:rPr>
    </w:lvl>
    <w:lvl w:ilvl="1" w:tentative="0">
      <w:start w:val="2"/>
      <w:numFmt w:val="decimal"/>
      <w:lvlText w:val="%1.%2"/>
      <w:lvlJc w:val="left"/>
      <w:pPr>
        <w:ind w:left="1209" w:hanging="529"/>
        <w:jc w:val="left"/>
      </w:pPr>
      <w:rPr>
        <w:rFonts w:hint="default"/>
        <w:lang w:val="zh-CN" w:eastAsia="zh-CN" w:bidi="zh-CN"/>
      </w:rPr>
    </w:lvl>
    <w:lvl w:ilvl="2" w:tentative="0">
      <w:start w:val="3"/>
      <w:numFmt w:val="decimal"/>
      <w:lvlText w:val="%1.%2.%3"/>
      <w:lvlJc w:val="left"/>
      <w:pPr>
        <w:ind w:left="1209"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749" w:hanging="529"/>
      </w:pPr>
      <w:rPr>
        <w:rFonts w:hint="default"/>
        <w:lang w:val="zh-CN" w:eastAsia="zh-CN" w:bidi="zh-CN"/>
      </w:rPr>
    </w:lvl>
    <w:lvl w:ilvl="4" w:tentative="0">
      <w:start w:val="0"/>
      <w:numFmt w:val="bullet"/>
      <w:lvlText w:val="•"/>
      <w:lvlJc w:val="left"/>
      <w:pPr>
        <w:ind w:left="4599" w:hanging="529"/>
      </w:pPr>
      <w:rPr>
        <w:rFonts w:hint="default"/>
        <w:lang w:val="zh-CN" w:eastAsia="zh-CN" w:bidi="zh-CN"/>
      </w:rPr>
    </w:lvl>
    <w:lvl w:ilvl="5" w:tentative="0">
      <w:start w:val="0"/>
      <w:numFmt w:val="bullet"/>
      <w:lvlText w:val="•"/>
      <w:lvlJc w:val="left"/>
      <w:pPr>
        <w:ind w:left="5449" w:hanging="529"/>
      </w:pPr>
      <w:rPr>
        <w:rFonts w:hint="default"/>
        <w:lang w:val="zh-CN" w:eastAsia="zh-CN" w:bidi="zh-CN"/>
      </w:rPr>
    </w:lvl>
    <w:lvl w:ilvl="6" w:tentative="0">
      <w:start w:val="0"/>
      <w:numFmt w:val="bullet"/>
      <w:lvlText w:val="•"/>
      <w:lvlJc w:val="left"/>
      <w:pPr>
        <w:ind w:left="6299" w:hanging="529"/>
      </w:pPr>
      <w:rPr>
        <w:rFonts w:hint="default"/>
        <w:lang w:val="zh-CN" w:eastAsia="zh-CN" w:bidi="zh-CN"/>
      </w:rPr>
    </w:lvl>
    <w:lvl w:ilvl="7" w:tentative="0">
      <w:start w:val="0"/>
      <w:numFmt w:val="bullet"/>
      <w:lvlText w:val="•"/>
      <w:lvlJc w:val="left"/>
      <w:pPr>
        <w:ind w:left="7149" w:hanging="529"/>
      </w:pPr>
      <w:rPr>
        <w:rFonts w:hint="default"/>
        <w:lang w:val="zh-CN" w:eastAsia="zh-CN" w:bidi="zh-CN"/>
      </w:rPr>
    </w:lvl>
    <w:lvl w:ilvl="8" w:tentative="0">
      <w:start w:val="0"/>
      <w:numFmt w:val="bullet"/>
      <w:lvlText w:val="•"/>
      <w:lvlJc w:val="left"/>
      <w:pPr>
        <w:ind w:left="7999" w:hanging="529"/>
      </w:pPr>
      <w:rPr>
        <w:rFonts w:hint="default"/>
        <w:lang w:val="zh-CN" w:eastAsia="zh-CN" w:bidi="zh-CN"/>
      </w:rPr>
    </w:lvl>
  </w:abstractNum>
  <w:abstractNum w:abstractNumId="64">
    <w:nsid w:val="592526BF"/>
    <w:multiLevelType w:val="multilevel"/>
    <w:tmpl w:val="592526BF"/>
    <w:lvl w:ilvl="0" w:tentative="0">
      <w:start w:val="25"/>
      <w:numFmt w:val="decimal"/>
      <w:lvlText w:val="%1"/>
      <w:lvlJc w:val="left"/>
      <w:pPr>
        <w:ind w:left="515" w:hanging="30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12" w:hanging="473"/>
      </w:pPr>
      <w:rPr>
        <w:rFonts w:hint="default" w:ascii="宋体" w:hAnsi="宋体" w:eastAsia="宋体" w:cs="宋体"/>
        <w:w w:val="100"/>
        <w:sz w:val="21"/>
        <w:szCs w:val="21"/>
        <w:lang w:val="zh-CN" w:eastAsia="zh-CN" w:bidi="zh-CN"/>
      </w:rPr>
    </w:lvl>
    <w:lvl w:ilvl="2" w:tentative="0">
      <w:start w:val="1"/>
      <w:numFmt w:val="decimal"/>
      <w:lvlText w:val="%3."/>
      <w:lvlJc w:val="left"/>
      <w:pPr>
        <w:ind w:left="1264" w:hanging="250"/>
      </w:pPr>
      <w:rPr>
        <w:rFonts w:hint="default" w:ascii="Times New Roman" w:hAnsi="Times New Roman" w:eastAsia="Times New Roman" w:cs="Times New Roman"/>
        <w:spacing w:val="-5"/>
        <w:w w:val="100"/>
        <w:sz w:val="21"/>
        <w:szCs w:val="21"/>
        <w:lang w:val="zh-CN" w:eastAsia="zh-CN" w:bidi="zh-CN"/>
      </w:rPr>
    </w:lvl>
    <w:lvl w:ilvl="3" w:tentative="0">
      <w:start w:val="1"/>
      <w:numFmt w:val="decimal"/>
      <w:lvlText w:val="（%4）"/>
      <w:lvlJc w:val="left"/>
      <w:pPr>
        <w:ind w:left="1875" w:hanging="515"/>
      </w:pPr>
      <w:rPr>
        <w:rFonts w:hint="default" w:ascii="宋体" w:hAnsi="宋体" w:eastAsia="宋体" w:cs="宋体"/>
        <w:spacing w:val="-10"/>
        <w:w w:val="100"/>
        <w:sz w:val="19"/>
        <w:szCs w:val="19"/>
        <w:lang w:val="zh-CN" w:eastAsia="zh-CN" w:bidi="zh-CN"/>
      </w:rPr>
    </w:lvl>
    <w:lvl w:ilvl="4" w:tentative="0">
      <w:start w:val="0"/>
      <w:numFmt w:val="bullet"/>
      <w:lvlText w:val="•"/>
      <w:lvlJc w:val="left"/>
      <w:pPr>
        <w:ind w:left="3080" w:hanging="515"/>
      </w:pPr>
      <w:rPr>
        <w:rFonts w:hint="default"/>
        <w:lang w:val="zh-CN" w:eastAsia="zh-CN" w:bidi="zh-CN"/>
      </w:rPr>
    </w:lvl>
    <w:lvl w:ilvl="5" w:tentative="0">
      <w:start w:val="0"/>
      <w:numFmt w:val="bullet"/>
      <w:lvlText w:val="•"/>
      <w:lvlJc w:val="left"/>
      <w:pPr>
        <w:ind w:left="4281" w:hanging="515"/>
      </w:pPr>
      <w:rPr>
        <w:rFonts w:hint="default"/>
        <w:lang w:val="zh-CN" w:eastAsia="zh-CN" w:bidi="zh-CN"/>
      </w:rPr>
    </w:lvl>
    <w:lvl w:ilvl="6" w:tentative="0">
      <w:start w:val="0"/>
      <w:numFmt w:val="bullet"/>
      <w:lvlText w:val="•"/>
      <w:lvlJc w:val="left"/>
      <w:pPr>
        <w:ind w:left="5482" w:hanging="515"/>
      </w:pPr>
      <w:rPr>
        <w:rFonts w:hint="default"/>
        <w:lang w:val="zh-CN" w:eastAsia="zh-CN" w:bidi="zh-CN"/>
      </w:rPr>
    </w:lvl>
    <w:lvl w:ilvl="7" w:tentative="0">
      <w:start w:val="0"/>
      <w:numFmt w:val="bullet"/>
      <w:lvlText w:val="•"/>
      <w:lvlJc w:val="left"/>
      <w:pPr>
        <w:ind w:left="6683" w:hanging="515"/>
      </w:pPr>
      <w:rPr>
        <w:rFonts w:hint="default"/>
        <w:lang w:val="zh-CN" w:eastAsia="zh-CN" w:bidi="zh-CN"/>
      </w:rPr>
    </w:lvl>
    <w:lvl w:ilvl="8" w:tentative="0">
      <w:start w:val="0"/>
      <w:numFmt w:val="bullet"/>
      <w:lvlText w:val="•"/>
      <w:lvlJc w:val="left"/>
      <w:pPr>
        <w:ind w:left="7884" w:hanging="515"/>
      </w:pPr>
      <w:rPr>
        <w:rFonts w:hint="default"/>
        <w:lang w:val="zh-CN" w:eastAsia="zh-CN" w:bidi="zh-CN"/>
      </w:rPr>
    </w:lvl>
  </w:abstractNum>
  <w:abstractNum w:abstractNumId="65">
    <w:nsid w:val="5A5C4142"/>
    <w:multiLevelType w:val="multilevel"/>
    <w:tmpl w:val="5A5C4142"/>
    <w:lvl w:ilvl="0" w:tentative="0">
      <w:start w:val="4"/>
      <w:numFmt w:val="decimal"/>
      <w:lvlText w:val="%1"/>
      <w:lvlJc w:val="left"/>
      <w:pPr>
        <w:ind w:left="1272" w:hanging="637"/>
      </w:pPr>
      <w:rPr>
        <w:rFonts w:hint="default"/>
        <w:lang w:val="zh-CN" w:eastAsia="zh-CN" w:bidi="zh-CN"/>
      </w:rPr>
    </w:lvl>
    <w:lvl w:ilvl="1" w:tentative="0">
      <w:start w:val="1"/>
      <w:numFmt w:val="decimal"/>
      <w:lvlText w:val="%1.%2"/>
      <w:lvlJc w:val="left"/>
      <w:pPr>
        <w:ind w:left="1272" w:hanging="637"/>
      </w:pPr>
      <w:rPr>
        <w:rFonts w:hint="default"/>
        <w:lang w:val="zh-CN" w:eastAsia="zh-CN" w:bidi="zh-CN"/>
      </w:rPr>
    </w:lvl>
    <w:lvl w:ilvl="2" w:tentative="0">
      <w:start w:val="10"/>
      <w:numFmt w:val="decimal"/>
      <w:lvlText w:val="%1.%2.%3"/>
      <w:lvlJc w:val="left"/>
      <w:pPr>
        <w:ind w:left="1272" w:hanging="637"/>
      </w:pPr>
      <w:rPr>
        <w:rFonts w:hint="default" w:ascii="宋体" w:hAnsi="宋体" w:eastAsia="宋体" w:cs="宋体"/>
        <w:b/>
        <w:bCs/>
        <w:spacing w:val="-3"/>
        <w:w w:val="99"/>
        <w:sz w:val="19"/>
        <w:szCs w:val="19"/>
        <w:lang w:val="zh-CN" w:eastAsia="zh-CN" w:bidi="zh-CN"/>
      </w:rPr>
    </w:lvl>
    <w:lvl w:ilvl="3" w:tentative="0">
      <w:start w:val="1"/>
      <w:numFmt w:val="decimal"/>
      <w:lvlText w:val="%1.%2.%3.%4"/>
      <w:lvlJc w:val="left"/>
      <w:pPr>
        <w:ind w:left="212" w:hanging="844"/>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282" w:hanging="844"/>
      </w:pPr>
      <w:rPr>
        <w:rFonts w:hint="default"/>
        <w:lang w:val="zh-CN" w:eastAsia="zh-CN" w:bidi="zh-CN"/>
      </w:rPr>
    </w:lvl>
    <w:lvl w:ilvl="5" w:tentative="0">
      <w:start w:val="0"/>
      <w:numFmt w:val="bullet"/>
      <w:lvlText w:val="•"/>
      <w:lvlJc w:val="left"/>
      <w:pPr>
        <w:ind w:left="5282" w:hanging="844"/>
      </w:pPr>
      <w:rPr>
        <w:rFonts w:hint="default"/>
        <w:lang w:val="zh-CN" w:eastAsia="zh-CN" w:bidi="zh-CN"/>
      </w:rPr>
    </w:lvl>
    <w:lvl w:ilvl="6" w:tentative="0">
      <w:start w:val="0"/>
      <w:numFmt w:val="bullet"/>
      <w:lvlText w:val="•"/>
      <w:lvlJc w:val="left"/>
      <w:pPr>
        <w:ind w:left="6283" w:hanging="844"/>
      </w:pPr>
      <w:rPr>
        <w:rFonts w:hint="default"/>
        <w:lang w:val="zh-CN" w:eastAsia="zh-CN" w:bidi="zh-CN"/>
      </w:rPr>
    </w:lvl>
    <w:lvl w:ilvl="7" w:tentative="0">
      <w:start w:val="0"/>
      <w:numFmt w:val="bullet"/>
      <w:lvlText w:val="•"/>
      <w:lvlJc w:val="left"/>
      <w:pPr>
        <w:ind w:left="7284" w:hanging="844"/>
      </w:pPr>
      <w:rPr>
        <w:rFonts w:hint="default"/>
        <w:lang w:val="zh-CN" w:eastAsia="zh-CN" w:bidi="zh-CN"/>
      </w:rPr>
    </w:lvl>
    <w:lvl w:ilvl="8" w:tentative="0">
      <w:start w:val="0"/>
      <w:numFmt w:val="bullet"/>
      <w:lvlText w:val="•"/>
      <w:lvlJc w:val="left"/>
      <w:pPr>
        <w:ind w:left="8284" w:hanging="844"/>
      </w:pPr>
      <w:rPr>
        <w:rFonts w:hint="default"/>
        <w:lang w:val="zh-CN" w:eastAsia="zh-CN" w:bidi="zh-CN"/>
      </w:rPr>
    </w:lvl>
  </w:abstractNum>
  <w:abstractNum w:abstractNumId="66">
    <w:nsid w:val="5A650D6D"/>
    <w:multiLevelType w:val="multilevel"/>
    <w:tmpl w:val="5A650D6D"/>
    <w:lvl w:ilvl="0" w:tentative="0">
      <w:start w:val="16"/>
      <w:numFmt w:val="decimal"/>
      <w:lvlText w:val="%1"/>
      <w:lvlJc w:val="left"/>
      <w:pPr>
        <w:ind w:left="753" w:hanging="541"/>
      </w:pPr>
      <w:rPr>
        <w:rFonts w:hint="default"/>
        <w:lang w:val="zh-CN" w:eastAsia="zh-CN" w:bidi="zh-CN"/>
      </w:rPr>
    </w:lvl>
    <w:lvl w:ilvl="1" w:tentative="0">
      <w:start w:val="1"/>
      <w:numFmt w:val="decimal"/>
      <w:lvlText w:val="%1.%2"/>
      <w:lvlJc w:val="left"/>
      <w:pPr>
        <w:ind w:left="753" w:hanging="541"/>
      </w:pPr>
      <w:rPr>
        <w:rFonts w:hint="default" w:ascii="Times New Roman" w:hAnsi="Times New Roman" w:eastAsia="Times New Roman" w:cs="Times New Roman"/>
        <w:b/>
        <w:bCs/>
        <w:spacing w:val="-2"/>
        <w:w w:val="99"/>
        <w:sz w:val="24"/>
        <w:szCs w:val="24"/>
        <w:lang w:val="zh-CN" w:eastAsia="zh-CN" w:bidi="zh-CN"/>
      </w:rPr>
    </w:lvl>
    <w:lvl w:ilvl="2" w:tentative="0">
      <w:start w:val="0"/>
      <w:numFmt w:val="bullet"/>
      <w:lvlText w:val="•"/>
      <w:lvlJc w:val="left"/>
      <w:pPr>
        <w:ind w:left="2665" w:hanging="541"/>
      </w:pPr>
      <w:rPr>
        <w:rFonts w:hint="default"/>
        <w:lang w:val="zh-CN" w:eastAsia="zh-CN" w:bidi="zh-CN"/>
      </w:rPr>
    </w:lvl>
    <w:lvl w:ilvl="3" w:tentative="0">
      <w:start w:val="0"/>
      <w:numFmt w:val="bullet"/>
      <w:lvlText w:val="•"/>
      <w:lvlJc w:val="left"/>
      <w:pPr>
        <w:ind w:left="3617" w:hanging="541"/>
      </w:pPr>
      <w:rPr>
        <w:rFonts w:hint="default"/>
        <w:lang w:val="zh-CN" w:eastAsia="zh-CN" w:bidi="zh-CN"/>
      </w:rPr>
    </w:lvl>
    <w:lvl w:ilvl="4" w:tentative="0">
      <w:start w:val="0"/>
      <w:numFmt w:val="bullet"/>
      <w:lvlText w:val="•"/>
      <w:lvlJc w:val="left"/>
      <w:pPr>
        <w:ind w:left="4570" w:hanging="541"/>
      </w:pPr>
      <w:rPr>
        <w:rFonts w:hint="default"/>
        <w:lang w:val="zh-CN" w:eastAsia="zh-CN" w:bidi="zh-CN"/>
      </w:rPr>
    </w:lvl>
    <w:lvl w:ilvl="5" w:tentative="0">
      <w:start w:val="0"/>
      <w:numFmt w:val="bullet"/>
      <w:lvlText w:val="•"/>
      <w:lvlJc w:val="left"/>
      <w:pPr>
        <w:ind w:left="5523" w:hanging="541"/>
      </w:pPr>
      <w:rPr>
        <w:rFonts w:hint="default"/>
        <w:lang w:val="zh-CN" w:eastAsia="zh-CN" w:bidi="zh-CN"/>
      </w:rPr>
    </w:lvl>
    <w:lvl w:ilvl="6" w:tentative="0">
      <w:start w:val="0"/>
      <w:numFmt w:val="bullet"/>
      <w:lvlText w:val="•"/>
      <w:lvlJc w:val="left"/>
      <w:pPr>
        <w:ind w:left="6475" w:hanging="541"/>
      </w:pPr>
      <w:rPr>
        <w:rFonts w:hint="default"/>
        <w:lang w:val="zh-CN" w:eastAsia="zh-CN" w:bidi="zh-CN"/>
      </w:rPr>
    </w:lvl>
    <w:lvl w:ilvl="7" w:tentative="0">
      <w:start w:val="0"/>
      <w:numFmt w:val="bullet"/>
      <w:lvlText w:val="•"/>
      <w:lvlJc w:val="left"/>
      <w:pPr>
        <w:ind w:left="7428" w:hanging="541"/>
      </w:pPr>
      <w:rPr>
        <w:rFonts w:hint="default"/>
        <w:lang w:val="zh-CN" w:eastAsia="zh-CN" w:bidi="zh-CN"/>
      </w:rPr>
    </w:lvl>
    <w:lvl w:ilvl="8" w:tentative="0">
      <w:start w:val="0"/>
      <w:numFmt w:val="bullet"/>
      <w:lvlText w:val="•"/>
      <w:lvlJc w:val="left"/>
      <w:pPr>
        <w:ind w:left="8381" w:hanging="541"/>
      </w:pPr>
      <w:rPr>
        <w:rFonts w:hint="default"/>
        <w:lang w:val="zh-CN" w:eastAsia="zh-CN" w:bidi="zh-CN"/>
      </w:rPr>
    </w:lvl>
  </w:abstractNum>
  <w:abstractNum w:abstractNumId="67">
    <w:nsid w:val="5A88647E"/>
    <w:multiLevelType w:val="multilevel"/>
    <w:tmpl w:val="5A88647E"/>
    <w:lvl w:ilvl="0" w:tentative="0">
      <w:start w:val="6"/>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68">
    <w:nsid w:val="5D9D174C"/>
    <w:multiLevelType w:val="multilevel"/>
    <w:tmpl w:val="5D9D174C"/>
    <w:lvl w:ilvl="0" w:tentative="0">
      <w:start w:val="17"/>
      <w:numFmt w:val="decimal"/>
      <w:lvlText w:val="%1"/>
      <w:lvlJc w:val="left"/>
      <w:pPr>
        <w:ind w:left="758" w:hanging="546"/>
      </w:pPr>
      <w:rPr>
        <w:rFonts w:hint="default"/>
        <w:lang w:val="zh-CN" w:eastAsia="zh-CN" w:bidi="zh-CN"/>
      </w:rPr>
    </w:lvl>
    <w:lvl w:ilvl="1" w:tentative="0">
      <w:start w:val="2"/>
      <w:numFmt w:val="decimal"/>
      <w:lvlText w:val="%1.%2"/>
      <w:lvlJc w:val="left"/>
      <w:pPr>
        <w:ind w:left="758" w:hanging="546"/>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174" w:hanging="546"/>
      </w:pPr>
      <w:rPr>
        <w:rFonts w:hint="default"/>
        <w:lang w:val="zh-CN" w:eastAsia="zh-CN" w:bidi="zh-CN"/>
      </w:rPr>
    </w:lvl>
    <w:lvl w:ilvl="3" w:tentative="0">
      <w:start w:val="0"/>
      <w:numFmt w:val="bullet"/>
      <w:lvlText w:val="•"/>
      <w:lvlJc w:val="left"/>
      <w:pPr>
        <w:ind w:left="3188" w:hanging="546"/>
      </w:pPr>
      <w:rPr>
        <w:rFonts w:hint="default"/>
        <w:lang w:val="zh-CN" w:eastAsia="zh-CN" w:bidi="zh-CN"/>
      </w:rPr>
    </w:lvl>
    <w:lvl w:ilvl="4" w:tentative="0">
      <w:start w:val="0"/>
      <w:numFmt w:val="bullet"/>
      <w:lvlText w:val="•"/>
      <w:lvlJc w:val="left"/>
      <w:pPr>
        <w:ind w:left="4202" w:hanging="546"/>
      </w:pPr>
      <w:rPr>
        <w:rFonts w:hint="default"/>
        <w:lang w:val="zh-CN" w:eastAsia="zh-CN" w:bidi="zh-CN"/>
      </w:rPr>
    </w:lvl>
    <w:lvl w:ilvl="5" w:tentative="0">
      <w:start w:val="0"/>
      <w:numFmt w:val="bullet"/>
      <w:lvlText w:val="•"/>
      <w:lvlJc w:val="left"/>
      <w:pPr>
        <w:ind w:left="5216" w:hanging="546"/>
      </w:pPr>
      <w:rPr>
        <w:rFonts w:hint="default"/>
        <w:lang w:val="zh-CN" w:eastAsia="zh-CN" w:bidi="zh-CN"/>
      </w:rPr>
    </w:lvl>
    <w:lvl w:ilvl="6" w:tentative="0">
      <w:start w:val="0"/>
      <w:numFmt w:val="bullet"/>
      <w:lvlText w:val="•"/>
      <w:lvlJc w:val="left"/>
      <w:pPr>
        <w:ind w:left="6230" w:hanging="546"/>
      </w:pPr>
      <w:rPr>
        <w:rFonts w:hint="default"/>
        <w:lang w:val="zh-CN" w:eastAsia="zh-CN" w:bidi="zh-CN"/>
      </w:rPr>
    </w:lvl>
    <w:lvl w:ilvl="7" w:tentative="0">
      <w:start w:val="0"/>
      <w:numFmt w:val="bullet"/>
      <w:lvlText w:val="•"/>
      <w:lvlJc w:val="left"/>
      <w:pPr>
        <w:ind w:left="7244" w:hanging="546"/>
      </w:pPr>
      <w:rPr>
        <w:rFonts w:hint="default"/>
        <w:lang w:val="zh-CN" w:eastAsia="zh-CN" w:bidi="zh-CN"/>
      </w:rPr>
    </w:lvl>
    <w:lvl w:ilvl="8" w:tentative="0">
      <w:start w:val="0"/>
      <w:numFmt w:val="bullet"/>
      <w:lvlText w:val="•"/>
      <w:lvlJc w:val="left"/>
      <w:pPr>
        <w:ind w:left="8258" w:hanging="546"/>
      </w:pPr>
      <w:rPr>
        <w:rFonts w:hint="default"/>
        <w:lang w:val="zh-CN" w:eastAsia="zh-CN" w:bidi="zh-CN"/>
      </w:rPr>
    </w:lvl>
  </w:abstractNum>
  <w:abstractNum w:abstractNumId="69">
    <w:nsid w:val="5E035983"/>
    <w:multiLevelType w:val="multilevel"/>
    <w:tmpl w:val="5E035983"/>
    <w:lvl w:ilvl="0" w:tentative="0">
      <w:start w:val="2"/>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00" w:hanging="529"/>
      </w:pPr>
      <w:rPr>
        <w:rFonts w:hint="default"/>
        <w:lang w:val="zh-CN" w:eastAsia="zh-CN" w:bidi="zh-CN"/>
      </w:rPr>
    </w:lvl>
    <w:lvl w:ilvl="2" w:tentative="0">
      <w:start w:val="0"/>
      <w:numFmt w:val="bullet"/>
      <w:lvlText w:val="•"/>
      <w:lvlJc w:val="left"/>
      <w:pPr>
        <w:ind w:left="2302" w:hanging="529"/>
      </w:pPr>
      <w:rPr>
        <w:rFonts w:hint="default"/>
        <w:lang w:val="zh-CN" w:eastAsia="zh-CN" w:bidi="zh-CN"/>
      </w:rPr>
    </w:lvl>
    <w:lvl w:ilvl="3" w:tentative="0">
      <w:start w:val="0"/>
      <w:numFmt w:val="bullet"/>
      <w:lvlText w:val="•"/>
      <w:lvlJc w:val="left"/>
      <w:pPr>
        <w:ind w:left="3205" w:hanging="529"/>
      </w:pPr>
      <w:rPr>
        <w:rFonts w:hint="default"/>
        <w:lang w:val="zh-CN" w:eastAsia="zh-CN" w:bidi="zh-CN"/>
      </w:rPr>
    </w:lvl>
    <w:lvl w:ilvl="4" w:tentative="0">
      <w:start w:val="0"/>
      <w:numFmt w:val="bullet"/>
      <w:lvlText w:val="•"/>
      <w:lvlJc w:val="left"/>
      <w:pPr>
        <w:ind w:left="4108" w:hanging="529"/>
      </w:pPr>
      <w:rPr>
        <w:rFonts w:hint="default"/>
        <w:lang w:val="zh-CN" w:eastAsia="zh-CN" w:bidi="zh-CN"/>
      </w:rPr>
    </w:lvl>
    <w:lvl w:ilvl="5" w:tentative="0">
      <w:start w:val="0"/>
      <w:numFmt w:val="bullet"/>
      <w:lvlText w:val="•"/>
      <w:lvlJc w:val="left"/>
      <w:pPr>
        <w:ind w:left="5011" w:hanging="529"/>
      </w:pPr>
      <w:rPr>
        <w:rFonts w:hint="default"/>
        <w:lang w:val="zh-CN" w:eastAsia="zh-CN" w:bidi="zh-CN"/>
      </w:rPr>
    </w:lvl>
    <w:lvl w:ilvl="6" w:tentative="0">
      <w:start w:val="0"/>
      <w:numFmt w:val="bullet"/>
      <w:lvlText w:val="•"/>
      <w:lvlJc w:val="left"/>
      <w:pPr>
        <w:ind w:left="5914" w:hanging="529"/>
      </w:pPr>
      <w:rPr>
        <w:rFonts w:hint="default"/>
        <w:lang w:val="zh-CN" w:eastAsia="zh-CN" w:bidi="zh-CN"/>
      </w:rPr>
    </w:lvl>
    <w:lvl w:ilvl="7" w:tentative="0">
      <w:start w:val="0"/>
      <w:numFmt w:val="bullet"/>
      <w:lvlText w:val="•"/>
      <w:lvlJc w:val="left"/>
      <w:pPr>
        <w:ind w:left="6817" w:hanging="529"/>
      </w:pPr>
      <w:rPr>
        <w:rFonts w:hint="default"/>
        <w:lang w:val="zh-CN" w:eastAsia="zh-CN" w:bidi="zh-CN"/>
      </w:rPr>
    </w:lvl>
    <w:lvl w:ilvl="8" w:tentative="0">
      <w:start w:val="0"/>
      <w:numFmt w:val="bullet"/>
      <w:lvlText w:val="•"/>
      <w:lvlJc w:val="left"/>
      <w:pPr>
        <w:ind w:left="7720" w:hanging="529"/>
      </w:pPr>
      <w:rPr>
        <w:rFonts w:hint="default"/>
        <w:lang w:val="zh-CN" w:eastAsia="zh-CN" w:bidi="zh-CN"/>
      </w:rPr>
    </w:lvl>
  </w:abstractNum>
  <w:abstractNum w:abstractNumId="70">
    <w:nsid w:val="5E4711BF"/>
    <w:multiLevelType w:val="multilevel"/>
    <w:tmpl w:val="5E4711BF"/>
    <w:lvl w:ilvl="0" w:tentative="0">
      <w:start w:val="1"/>
      <w:numFmt w:val="decimal"/>
      <w:lvlText w:val="（%1）"/>
      <w:lvlJc w:val="left"/>
      <w:pPr>
        <w:ind w:left="107" w:hanging="529"/>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875" w:hanging="529"/>
      </w:pPr>
      <w:rPr>
        <w:rFonts w:hint="default"/>
        <w:lang w:val="zh-CN" w:eastAsia="zh-CN" w:bidi="zh-CN"/>
      </w:rPr>
    </w:lvl>
    <w:lvl w:ilvl="2" w:tentative="0">
      <w:start w:val="0"/>
      <w:numFmt w:val="bullet"/>
      <w:lvlText w:val="•"/>
      <w:lvlJc w:val="left"/>
      <w:pPr>
        <w:ind w:left="1651" w:hanging="529"/>
      </w:pPr>
      <w:rPr>
        <w:rFonts w:hint="default"/>
        <w:lang w:val="zh-CN" w:eastAsia="zh-CN" w:bidi="zh-CN"/>
      </w:rPr>
    </w:lvl>
    <w:lvl w:ilvl="3" w:tentative="0">
      <w:start w:val="0"/>
      <w:numFmt w:val="bullet"/>
      <w:lvlText w:val="•"/>
      <w:lvlJc w:val="left"/>
      <w:pPr>
        <w:ind w:left="2427" w:hanging="529"/>
      </w:pPr>
      <w:rPr>
        <w:rFonts w:hint="default"/>
        <w:lang w:val="zh-CN" w:eastAsia="zh-CN" w:bidi="zh-CN"/>
      </w:rPr>
    </w:lvl>
    <w:lvl w:ilvl="4" w:tentative="0">
      <w:start w:val="0"/>
      <w:numFmt w:val="bullet"/>
      <w:lvlText w:val="•"/>
      <w:lvlJc w:val="left"/>
      <w:pPr>
        <w:ind w:left="3203" w:hanging="529"/>
      </w:pPr>
      <w:rPr>
        <w:rFonts w:hint="default"/>
        <w:lang w:val="zh-CN" w:eastAsia="zh-CN" w:bidi="zh-CN"/>
      </w:rPr>
    </w:lvl>
    <w:lvl w:ilvl="5" w:tentative="0">
      <w:start w:val="0"/>
      <w:numFmt w:val="bullet"/>
      <w:lvlText w:val="•"/>
      <w:lvlJc w:val="left"/>
      <w:pPr>
        <w:ind w:left="3979" w:hanging="529"/>
      </w:pPr>
      <w:rPr>
        <w:rFonts w:hint="default"/>
        <w:lang w:val="zh-CN" w:eastAsia="zh-CN" w:bidi="zh-CN"/>
      </w:rPr>
    </w:lvl>
    <w:lvl w:ilvl="6" w:tentative="0">
      <w:start w:val="0"/>
      <w:numFmt w:val="bullet"/>
      <w:lvlText w:val="•"/>
      <w:lvlJc w:val="left"/>
      <w:pPr>
        <w:ind w:left="4754" w:hanging="529"/>
      </w:pPr>
      <w:rPr>
        <w:rFonts w:hint="default"/>
        <w:lang w:val="zh-CN" w:eastAsia="zh-CN" w:bidi="zh-CN"/>
      </w:rPr>
    </w:lvl>
    <w:lvl w:ilvl="7" w:tentative="0">
      <w:start w:val="0"/>
      <w:numFmt w:val="bullet"/>
      <w:lvlText w:val="•"/>
      <w:lvlJc w:val="left"/>
      <w:pPr>
        <w:ind w:left="5530" w:hanging="529"/>
      </w:pPr>
      <w:rPr>
        <w:rFonts w:hint="default"/>
        <w:lang w:val="zh-CN" w:eastAsia="zh-CN" w:bidi="zh-CN"/>
      </w:rPr>
    </w:lvl>
    <w:lvl w:ilvl="8" w:tentative="0">
      <w:start w:val="0"/>
      <w:numFmt w:val="bullet"/>
      <w:lvlText w:val="•"/>
      <w:lvlJc w:val="left"/>
      <w:pPr>
        <w:ind w:left="6306" w:hanging="529"/>
      </w:pPr>
      <w:rPr>
        <w:rFonts w:hint="default"/>
        <w:lang w:val="zh-CN" w:eastAsia="zh-CN" w:bidi="zh-CN"/>
      </w:rPr>
    </w:lvl>
  </w:abstractNum>
  <w:abstractNum w:abstractNumId="71">
    <w:nsid w:val="5EDF6742"/>
    <w:multiLevelType w:val="multilevel"/>
    <w:tmpl w:val="5EDF6742"/>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72">
    <w:nsid w:val="5F0F1DAB"/>
    <w:multiLevelType w:val="multilevel"/>
    <w:tmpl w:val="5F0F1DAB"/>
    <w:lvl w:ilvl="0" w:tentative="0">
      <w:start w:val="1"/>
      <w:numFmt w:val="decimal"/>
      <w:lvlText w:val="（%1）"/>
      <w:lvlJc w:val="left"/>
      <w:pPr>
        <w:ind w:left="212" w:hanging="529"/>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226" w:hanging="529"/>
      </w:pPr>
      <w:rPr>
        <w:rFonts w:hint="default"/>
        <w:lang w:val="zh-CN" w:eastAsia="zh-CN" w:bidi="zh-CN"/>
      </w:rPr>
    </w:lvl>
    <w:lvl w:ilvl="2" w:tentative="0">
      <w:start w:val="0"/>
      <w:numFmt w:val="bullet"/>
      <w:lvlText w:val="•"/>
      <w:lvlJc w:val="left"/>
      <w:pPr>
        <w:ind w:left="2233" w:hanging="529"/>
      </w:pPr>
      <w:rPr>
        <w:rFonts w:hint="default"/>
        <w:lang w:val="zh-CN" w:eastAsia="zh-CN" w:bidi="zh-CN"/>
      </w:rPr>
    </w:lvl>
    <w:lvl w:ilvl="3" w:tentative="0">
      <w:start w:val="0"/>
      <w:numFmt w:val="bullet"/>
      <w:lvlText w:val="•"/>
      <w:lvlJc w:val="left"/>
      <w:pPr>
        <w:ind w:left="3239" w:hanging="529"/>
      </w:pPr>
      <w:rPr>
        <w:rFonts w:hint="default"/>
        <w:lang w:val="zh-CN" w:eastAsia="zh-CN" w:bidi="zh-CN"/>
      </w:rPr>
    </w:lvl>
    <w:lvl w:ilvl="4" w:tentative="0">
      <w:start w:val="0"/>
      <w:numFmt w:val="bullet"/>
      <w:lvlText w:val="•"/>
      <w:lvlJc w:val="left"/>
      <w:pPr>
        <w:ind w:left="4246" w:hanging="529"/>
      </w:pPr>
      <w:rPr>
        <w:rFonts w:hint="default"/>
        <w:lang w:val="zh-CN" w:eastAsia="zh-CN" w:bidi="zh-CN"/>
      </w:rPr>
    </w:lvl>
    <w:lvl w:ilvl="5" w:tentative="0">
      <w:start w:val="0"/>
      <w:numFmt w:val="bullet"/>
      <w:lvlText w:val="•"/>
      <w:lvlJc w:val="left"/>
      <w:pPr>
        <w:ind w:left="5253" w:hanging="529"/>
      </w:pPr>
      <w:rPr>
        <w:rFonts w:hint="default"/>
        <w:lang w:val="zh-CN" w:eastAsia="zh-CN" w:bidi="zh-CN"/>
      </w:rPr>
    </w:lvl>
    <w:lvl w:ilvl="6" w:tentative="0">
      <w:start w:val="0"/>
      <w:numFmt w:val="bullet"/>
      <w:lvlText w:val="•"/>
      <w:lvlJc w:val="left"/>
      <w:pPr>
        <w:ind w:left="6259" w:hanging="529"/>
      </w:pPr>
      <w:rPr>
        <w:rFonts w:hint="default"/>
        <w:lang w:val="zh-CN" w:eastAsia="zh-CN" w:bidi="zh-CN"/>
      </w:rPr>
    </w:lvl>
    <w:lvl w:ilvl="7" w:tentative="0">
      <w:start w:val="0"/>
      <w:numFmt w:val="bullet"/>
      <w:lvlText w:val="•"/>
      <w:lvlJc w:val="left"/>
      <w:pPr>
        <w:ind w:left="7266" w:hanging="529"/>
      </w:pPr>
      <w:rPr>
        <w:rFonts w:hint="default"/>
        <w:lang w:val="zh-CN" w:eastAsia="zh-CN" w:bidi="zh-CN"/>
      </w:rPr>
    </w:lvl>
    <w:lvl w:ilvl="8" w:tentative="0">
      <w:start w:val="0"/>
      <w:numFmt w:val="bullet"/>
      <w:lvlText w:val="•"/>
      <w:lvlJc w:val="left"/>
      <w:pPr>
        <w:ind w:left="8273" w:hanging="529"/>
      </w:pPr>
      <w:rPr>
        <w:rFonts w:hint="default"/>
        <w:lang w:val="zh-CN" w:eastAsia="zh-CN" w:bidi="zh-CN"/>
      </w:rPr>
    </w:lvl>
  </w:abstractNum>
  <w:abstractNum w:abstractNumId="73">
    <w:nsid w:val="629F7852"/>
    <w:multiLevelType w:val="multilevel"/>
    <w:tmpl w:val="629F7852"/>
    <w:lvl w:ilvl="0" w:tentative="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9" w:hanging="529"/>
      </w:pPr>
      <w:rPr>
        <w:rFonts w:hint="default"/>
        <w:lang w:val="zh-CN" w:eastAsia="zh-CN" w:bidi="zh-CN"/>
      </w:rPr>
    </w:lvl>
    <w:lvl w:ilvl="2" w:tentative="0">
      <w:start w:val="0"/>
      <w:numFmt w:val="bullet"/>
      <w:lvlText w:val="•"/>
      <w:lvlJc w:val="left"/>
      <w:pPr>
        <w:ind w:left="2899" w:hanging="529"/>
      </w:pPr>
      <w:rPr>
        <w:rFonts w:hint="default"/>
        <w:lang w:val="zh-CN" w:eastAsia="zh-CN" w:bidi="zh-CN"/>
      </w:rPr>
    </w:lvl>
    <w:lvl w:ilvl="3" w:tentative="0">
      <w:start w:val="0"/>
      <w:numFmt w:val="bullet"/>
      <w:lvlText w:val="•"/>
      <w:lvlJc w:val="left"/>
      <w:pPr>
        <w:ind w:left="3749" w:hanging="529"/>
      </w:pPr>
      <w:rPr>
        <w:rFonts w:hint="default"/>
        <w:lang w:val="zh-CN" w:eastAsia="zh-CN" w:bidi="zh-CN"/>
      </w:rPr>
    </w:lvl>
    <w:lvl w:ilvl="4" w:tentative="0">
      <w:start w:val="0"/>
      <w:numFmt w:val="bullet"/>
      <w:lvlText w:val="•"/>
      <w:lvlJc w:val="left"/>
      <w:pPr>
        <w:ind w:left="4599" w:hanging="529"/>
      </w:pPr>
      <w:rPr>
        <w:rFonts w:hint="default"/>
        <w:lang w:val="zh-CN" w:eastAsia="zh-CN" w:bidi="zh-CN"/>
      </w:rPr>
    </w:lvl>
    <w:lvl w:ilvl="5" w:tentative="0">
      <w:start w:val="0"/>
      <w:numFmt w:val="bullet"/>
      <w:lvlText w:val="•"/>
      <w:lvlJc w:val="left"/>
      <w:pPr>
        <w:ind w:left="5449" w:hanging="529"/>
      </w:pPr>
      <w:rPr>
        <w:rFonts w:hint="default"/>
        <w:lang w:val="zh-CN" w:eastAsia="zh-CN" w:bidi="zh-CN"/>
      </w:rPr>
    </w:lvl>
    <w:lvl w:ilvl="6" w:tentative="0">
      <w:start w:val="0"/>
      <w:numFmt w:val="bullet"/>
      <w:lvlText w:val="•"/>
      <w:lvlJc w:val="left"/>
      <w:pPr>
        <w:ind w:left="6299" w:hanging="529"/>
      </w:pPr>
      <w:rPr>
        <w:rFonts w:hint="default"/>
        <w:lang w:val="zh-CN" w:eastAsia="zh-CN" w:bidi="zh-CN"/>
      </w:rPr>
    </w:lvl>
    <w:lvl w:ilvl="7" w:tentative="0">
      <w:start w:val="0"/>
      <w:numFmt w:val="bullet"/>
      <w:lvlText w:val="•"/>
      <w:lvlJc w:val="left"/>
      <w:pPr>
        <w:ind w:left="7149" w:hanging="529"/>
      </w:pPr>
      <w:rPr>
        <w:rFonts w:hint="default"/>
        <w:lang w:val="zh-CN" w:eastAsia="zh-CN" w:bidi="zh-CN"/>
      </w:rPr>
    </w:lvl>
    <w:lvl w:ilvl="8" w:tentative="0">
      <w:start w:val="0"/>
      <w:numFmt w:val="bullet"/>
      <w:lvlText w:val="•"/>
      <w:lvlJc w:val="left"/>
      <w:pPr>
        <w:ind w:left="7999" w:hanging="529"/>
      </w:pPr>
      <w:rPr>
        <w:rFonts w:hint="default"/>
        <w:lang w:val="zh-CN" w:eastAsia="zh-CN" w:bidi="zh-CN"/>
      </w:rPr>
    </w:lvl>
  </w:abstractNum>
  <w:abstractNum w:abstractNumId="74">
    <w:nsid w:val="645D1778"/>
    <w:multiLevelType w:val="multilevel"/>
    <w:tmpl w:val="645D1778"/>
    <w:lvl w:ilvl="0" w:tentative="0">
      <w:start w:val="2"/>
      <w:numFmt w:val="decimal"/>
      <w:lvlText w:val="%1"/>
      <w:lvlJc w:val="left"/>
      <w:pPr>
        <w:ind w:left="575" w:hanging="364"/>
      </w:pPr>
      <w:rPr>
        <w:rFonts w:hint="default"/>
        <w:lang w:val="zh-CN" w:eastAsia="zh-CN" w:bidi="zh-CN"/>
      </w:rPr>
    </w:lvl>
    <w:lvl w:ilvl="1" w:tentative="0">
      <w:start w:val="3"/>
      <w:numFmt w:val="decimal"/>
      <w:lvlText w:val="%1.%2"/>
      <w:lvlJc w:val="left"/>
      <w:pPr>
        <w:ind w:left="575" w:hanging="364"/>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212" w:hanging="610"/>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2736" w:hanging="610"/>
      </w:pPr>
      <w:rPr>
        <w:rFonts w:hint="default"/>
        <w:lang w:val="zh-CN" w:eastAsia="zh-CN" w:bidi="zh-CN"/>
      </w:rPr>
    </w:lvl>
    <w:lvl w:ilvl="4" w:tentative="0">
      <w:start w:val="0"/>
      <w:numFmt w:val="bullet"/>
      <w:lvlText w:val="•"/>
      <w:lvlJc w:val="left"/>
      <w:pPr>
        <w:ind w:left="3815" w:hanging="610"/>
      </w:pPr>
      <w:rPr>
        <w:rFonts w:hint="default"/>
        <w:lang w:val="zh-CN" w:eastAsia="zh-CN" w:bidi="zh-CN"/>
      </w:rPr>
    </w:lvl>
    <w:lvl w:ilvl="5" w:tentative="0">
      <w:start w:val="0"/>
      <w:numFmt w:val="bullet"/>
      <w:lvlText w:val="•"/>
      <w:lvlJc w:val="left"/>
      <w:pPr>
        <w:ind w:left="4893" w:hanging="610"/>
      </w:pPr>
      <w:rPr>
        <w:rFonts w:hint="default"/>
        <w:lang w:val="zh-CN" w:eastAsia="zh-CN" w:bidi="zh-CN"/>
      </w:rPr>
    </w:lvl>
    <w:lvl w:ilvl="6" w:tentative="0">
      <w:start w:val="0"/>
      <w:numFmt w:val="bullet"/>
      <w:lvlText w:val="•"/>
      <w:lvlJc w:val="left"/>
      <w:pPr>
        <w:ind w:left="5972" w:hanging="610"/>
      </w:pPr>
      <w:rPr>
        <w:rFonts w:hint="default"/>
        <w:lang w:val="zh-CN" w:eastAsia="zh-CN" w:bidi="zh-CN"/>
      </w:rPr>
    </w:lvl>
    <w:lvl w:ilvl="7" w:tentative="0">
      <w:start w:val="0"/>
      <w:numFmt w:val="bullet"/>
      <w:lvlText w:val="•"/>
      <w:lvlJc w:val="left"/>
      <w:pPr>
        <w:ind w:left="7050" w:hanging="610"/>
      </w:pPr>
      <w:rPr>
        <w:rFonts w:hint="default"/>
        <w:lang w:val="zh-CN" w:eastAsia="zh-CN" w:bidi="zh-CN"/>
      </w:rPr>
    </w:lvl>
    <w:lvl w:ilvl="8" w:tentative="0">
      <w:start w:val="0"/>
      <w:numFmt w:val="bullet"/>
      <w:lvlText w:val="•"/>
      <w:lvlJc w:val="left"/>
      <w:pPr>
        <w:ind w:left="8129" w:hanging="610"/>
      </w:pPr>
      <w:rPr>
        <w:rFonts w:hint="default"/>
        <w:lang w:val="zh-CN" w:eastAsia="zh-CN" w:bidi="zh-CN"/>
      </w:rPr>
    </w:lvl>
  </w:abstractNum>
  <w:abstractNum w:abstractNumId="75">
    <w:nsid w:val="68AC6298"/>
    <w:multiLevelType w:val="multilevel"/>
    <w:tmpl w:val="68AC6298"/>
    <w:lvl w:ilvl="0" w:tentative="0">
      <w:start w:val="2"/>
      <w:numFmt w:val="decimal"/>
      <w:lvlText w:val="（%1）"/>
      <w:lvlJc w:val="left"/>
      <w:pPr>
        <w:ind w:left="11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14" w:hanging="529"/>
      </w:pPr>
      <w:rPr>
        <w:rFonts w:hint="default"/>
        <w:lang w:val="zh-CN" w:eastAsia="zh-CN" w:bidi="zh-CN"/>
      </w:rPr>
    </w:lvl>
    <w:lvl w:ilvl="2" w:tentative="0">
      <w:start w:val="0"/>
      <w:numFmt w:val="bullet"/>
      <w:lvlText w:val="•"/>
      <w:lvlJc w:val="left"/>
      <w:pPr>
        <w:ind w:left="2849" w:hanging="529"/>
      </w:pPr>
      <w:rPr>
        <w:rFonts w:hint="default"/>
        <w:lang w:val="zh-CN" w:eastAsia="zh-CN" w:bidi="zh-CN"/>
      </w:rPr>
    </w:lvl>
    <w:lvl w:ilvl="3" w:tentative="0">
      <w:start w:val="0"/>
      <w:numFmt w:val="bullet"/>
      <w:lvlText w:val="•"/>
      <w:lvlJc w:val="left"/>
      <w:pPr>
        <w:ind w:left="3683" w:hanging="529"/>
      </w:pPr>
      <w:rPr>
        <w:rFonts w:hint="default"/>
        <w:lang w:val="zh-CN" w:eastAsia="zh-CN" w:bidi="zh-CN"/>
      </w:rPr>
    </w:lvl>
    <w:lvl w:ilvl="4" w:tentative="0">
      <w:start w:val="0"/>
      <w:numFmt w:val="bullet"/>
      <w:lvlText w:val="•"/>
      <w:lvlJc w:val="left"/>
      <w:pPr>
        <w:ind w:left="4518" w:hanging="529"/>
      </w:pPr>
      <w:rPr>
        <w:rFonts w:hint="default"/>
        <w:lang w:val="zh-CN" w:eastAsia="zh-CN" w:bidi="zh-CN"/>
      </w:rPr>
    </w:lvl>
    <w:lvl w:ilvl="5" w:tentative="0">
      <w:start w:val="0"/>
      <w:numFmt w:val="bullet"/>
      <w:lvlText w:val="•"/>
      <w:lvlJc w:val="left"/>
      <w:pPr>
        <w:ind w:left="5353" w:hanging="529"/>
      </w:pPr>
      <w:rPr>
        <w:rFonts w:hint="default"/>
        <w:lang w:val="zh-CN" w:eastAsia="zh-CN" w:bidi="zh-CN"/>
      </w:rPr>
    </w:lvl>
    <w:lvl w:ilvl="6" w:tentative="0">
      <w:start w:val="0"/>
      <w:numFmt w:val="bullet"/>
      <w:lvlText w:val="•"/>
      <w:lvlJc w:val="left"/>
      <w:pPr>
        <w:ind w:left="6187" w:hanging="529"/>
      </w:pPr>
      <w:rPr>
        <w:rFonts w:hint="default"/>
        <w:lang w:val="zh-CN" w:eastAsia="zh-CN" w:bidi="zh-CN"/>
      </w:rPr>
    </w:lvl>
    <w:lvl w:ilvl="7" w:tentative="0">
      <w:start w:val="0"/>
      <w:numFmt w:val="bullet"/>
      <w:lvlText w:val="•"/>
      <w:lvlJc w:val="left"/>
      <w:pPr>
        <w:ind w:left="7022" w:hanging="529"/>
      </w:pPr>
      <w:rPr>
        <w:rFonts w:hint="default"/>
        <w:lang w:val="zh-CN" w:eastAsia="zh-CN" w:bidi="zh-CN"/>
      </w:rPr>
    </w:lvl>
    <w:lvl w:ilvl="8" w:tentative="0">
      <w:start w:val="0"/>
      <w:numFmt w:val="bullet"/>
      <w:lvlText w:val="•"/>
      <w:lvlJc w:val="left"/>
      <w:pPr>
        <w:ind w:left="7857" w:hanging="529"/>
      </w:pPr>
      <w:rPr>
        <w:rFonts w:hint="default"/>
        <w:lang w:val="zh-CN" w:eastAsia="zh-CN" w:bidi="zh-CN"/>
      </w:rPr>
    </w:lvl>
  </w:abstractNum>
  <w:abstractNum w:abstractNumId="76">
    <w:nsid w:val="6A2F5428"/>
    <w:multiLevelType w:val="multilevel"/>
    <w:tmpl w:val="6A2F5428"/>
    <w:lvl w:ilvl="0" w:tentative="0">
      <w:start w:val="2"/>
      <w:numFmt w:val="decimal"/>
      <w:lvlText w:val="%1."/>
      <w:lvlJc w:val="left"/>
      <w:pPr>
        <w:ind w:left="1322" w:hanging="250"/>
      </w:pPr>
      <w:rPr>
        <w:rFonts w:hint="default" w:ascii="Times New Roman" w:hAnsi="Times New Roman" w:eastAsia="Times New Roman" w:cs="Times New Roman"/>
        <w:spacing w:val="-5"/>
        <w:w w:val="100"/>
        <w:sz w:val="21"/>
        <w:szCs w:val="21"/>
        <w:lang w:val="zh-CN" w:eastAsia="zh-CN" w:bidi="zh-CN"/>
      </w:rPr>
    </w:lvl>
    <w:lvl w:ilvl="1" w:tentative="0">
      <w:start w:val="0"/>
      <w:numFmt w:val="bullet"/>
      <w:lvlText w:val="•"/>
      <w:lvlJc w:val="left"/>
      <w:pPr>
        <w:ind w:left="2216" w:hanging="250"/>
      </w:pPr>
      <w:rPr>
        <w:rFonts w:hint="default"/>
        <w:lang w:val="zh-CN" w:eastAsia="zh-CN" w:bidi="zh-CN"/>
      </w:rPr>
    </w:lvl>
    <w:lvl w:ilvl="2" w:tentative="0">
      <w:start w:val="0"/>
      <w:numFmt w:val="bullet"/>
      <w:lvlText w:val="•"/>
      <w:lvlJc w:val="left"/>
      <w:pPr>
        <w:ind w:left="3113" w:hanging="250"/>
      </w:pPr>
      <w:rPr>
        <w:rFonts w:hint="default"/>
        <w:lang w:val="zh-CN" w:eastAsia="zh-CN" w:bidi="zh-CN"/>
      </w:rPr>
    </w:lvl>
    <w:lvl w:ilvl="3" w:tentative="0">
      <w:start w:val="0"/>
      <w:numFmt w:val="bullet"/>
      <w:lvlText w:val="•"/>
      <w:lvlJc w:val="left"/>
      <w:pPr>
        <w:ind w:left="4009" w:hanging="250"/>
      </w:pPr>
      <w:rPr>
        <w:rFonts w:hint="default"/>
        <w:lang w:val="zh-CN" w:eastAsia="zh-CN" w:bidi="zh-CN"/>
      </w:rPr>
    </w:lvl>
    <w:lvl w:ilvl="4" w:tentative="0">
      <w:start w:val="0"/>
      <w:numFmt w:val="bullet"/>
      <w:lvlText w:val="•"/>
      <w:lvlJc w:val="left"/>
      <w:pPr>
        <w:ind w:left="4906" w:hanging="250"/>
      </w:pPr>
      <w:rPr>
        <w:rFonts w:hint="default"/>
        <w:lang w:val="zh-CN" w:eastAsia="zh-CN" w:bidi="zh-CN"/>
      </w:rPr>
    </w:lvl>
    <w:lvl w:ilvl="5" w:tentative="0">
      <w:start w:val="0"/>
      <w:numFmt w:val="bullet"/>
      <w:lvlText w:val="•"/>
      <w:lvlJc w:val="left"/>
      <w:pPr>
        <w:ind w:left="5803" w:hanging="250"/>
      </w:pPr>
      <w:rPr>
        <w:rFonts w:hint="default"/>
        <w:lang w:val="zh-CN" w:eastAsia="zh-CN" w:bidi="zh-CN"/>
      </w:rPr>
    </w:lvl>
    <w:lvl w:ilvl="6" w:tentative="0">
      <w:start w:val="0"/>
      <w:numFmt w:val="bullet"/>
      <w:lvlText w:val="•"/>
      <w:lvlJc w:val="left"/>
      <w:pPr>
        <w:ind w:left="6699" w:hanging="250"/>
      </w:pPr>
      <w:rPr>
        <w:rFonts w:hint="default"/>
        <w:lang w:val="zh-CN" w:eastAsia="zh-CN" w:bidi="zh-CN"/>
      </w:rPr>
    </w:lvl>
    <w:lvl w:ilvl="7" w:tentative="0">
      <w:start w:val="0"/>
      <w:numFmt w:val="bullet"/>
      <w:lvlText w:val="•"/>
      <w:lvlJc w:val="left"/>
      <w:pPr>
        <w:ind w:left="7596" w:hanging="250"/>
      </w:pPr>
      <w:rPr>
        <w:rFonts w:hint="default"/>
        <w:lang w:val="zh-CN" w:eastAsia="zh-CN" w:bidi="zh-CN"/>
      </w:rPr>
    </w:lvl>
    <w:lvl w:ilvl="8" w:tentative="0">
      <w:start w:val="0"/>
      <w:numFmt w:val="bullet"/>
      <w:lvlText w:val="•"/>
      <w:lvlJc w:val="left"/>
      <w:pPr>
        <w:ind w:left="8493" w:hanging="250"/>
      </w:pPr>
      <w:rPr>
        <w:rFonts w:hint="default"/>
        <w:lang w:val="zh-CN" w:eastAsia="zh-CN" w:bidi="zh-CN"/>
      </w:rPr>
    </w:lvl>
  </w:abstractNum>
  <w:abstractNum w:abstractNumId="77">
    <w:nsid w:val="6B3643E9"/>
    <w:multiLevelType w:val="multilevel"/>
    <w:tmpl w:val="6B3643E9"/>
    <w:lvl w:ilvl="0" w:tentative="0">
      <w:start w:val="4"/>
      <w:numFmt w:val="decimal"/>
      <w:lvlText w:val="%1"/>
      <w:lvlJc w:val="left"/>
      <w:pPr>
        <w:ind w:left="753" w:hanging="541"/>
      </w:pPr>
      <w:rPr>
        <w:rFonts w:hint="default"/>
        <w:lang w:val="zh-CN" w:eastAsia="zh-CN" w:bidi="zh-CN"/>
      </w:rPr>
    </w:lvl>
    <w:lvl w:ilvl="1" w:tentative="0">
      <w:start w:val="11"/>
      <w:numFmt w:val="decimal"/>
      <w:lvlText w:val="%1.%2"/>
      <w:lvlJc w:val="left"/>
      <w:pPr>
        <w:ind w:left="753" w:hanging="541"/>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162" w:hanging="529"/>
      </w:pPr>
      <w:rPr>
        <w:rFonts w:hint="default" w:ascii="Times New Roman" w:hAnsi="Times New Roman" w:eastAsia="Times New Roman" w:cs="Times New Roman"/>
        <w:spacing w:val="-1"/>
        <w:w w:val="100"/>
        <w:sz w:val="19"/>
        <w:szCs w:val="19"/>
        <w:lang w:val="zh-CN" w:eastAsia="zh-CN" w:bidi="zh-CN"/>
      </w:rPr>
    </w:lvl>
    <w:lvl w:ilvl="3" w:tentative="0">
      <w:start w:val="0"/>
      <w:numFmt w:val="bullet"/>
      <w:lvlText w:val="•"/>
      <w:lvlJc w:val="left"/>
      <w:pPr>
        <w:ind w:left="2388" w:hanging="529"/>
      </w:pPr>
      <w:rPr>
        <w:rFonts w:hint="default"/>
        <w:lang w:val="zh-CN" w:eastAsia="zh-CN" w:bidi="zh-CN"/>
      </w:rPr>
    </w:lvl>
    <w:lvl w:ilvl="4" w:tentative="0">
      <w:start w:val="0"/>
      <w:numFmt w:val="bullet"/>
      <w:lvlText w:val="•"/>
      <w:lvlJc w:val="left"/>
      <w:pPr>
        <w:ind w:left="3516" w:hanging="529"/>
      </w:pPr>
      <w:rPr>
        <w:rFonts w:hint="default"/>
        <w:lang w:val="zh-CN" w:eastAsia="zh-CN" w:bidi="zh-CN"/>
      </w:rPr>
    </w:lvl>
    <w:lvl w:ilvl="5" w:tentative="0">
      <w:start w:val="0"/>
      <w:numFmt w:val="bullet"/>
      <w:lvlText w:val="•"/>
      <w:lvlJc w:val="left"/>
      <w:pPr>
        <w:ind w:left="4644" w:hanging="529"/>
      </w:pPr>
      <w:rPr>
        <w:rFonts w:hint="default"/>
        <w:lang w:val="zh-CN" w:eastAsia="zh-CN" w:bidi="zh-CN"/>
      </w:rPr>
    </w:lvl>
    <w:lvl w:ilvl="6" w:tentative="0">
      <w:start w:val="0"/>
      <w:numFmt w:val="bullet"/>
      <w:lvlText w:val="•"/>
      <w:lvlJc w:val="left"/>
      <w:pPr>
        <w:ind w:left="5773" w:hanging="529"/>
      </w:pPr>
      <w:rPr>
        <w:rFonts w:hint="default"/>
        <w:lang w:val="zh-CN" w:eastAsia="zh-CN" w:bidi="zh-CN"/>
      </w:rPr>
    </w:lvl>
    <w:lvl w:ilvl="7" w:tentative="0">
      <w:start w:val="0"/>
      <w:numFmt w:val="bullet"/>
      <w:lvlText w:val="•"/>
      <w:lvlJc w:val="left"/>
      <w:pPr>
        <w:ind w:left="6901" w:hanging="529"/>
      </w:pPr>
      <w:rPr>
        <w:rFonts w:hint="default"/>
        <w:lang w:val="zh-CN" w:eastAsia="zh-CN" w:bidi="zh-CN"/>
      </w:rPr>
    </w:lvl>
    <w:lvl w:ilvl="8" w:tentative="0">
      <w:start w:val="0"/>
      <w:numFmt w:val="bullet"/>
      <w:lvlText w:val="•"/>
      <w:lvlJc w:val="left"/>
      <w:pPr>
        <w:ind w:left="8029" w:hanging="529"/>
      </w:pPr>
      <w:rPr>
        <w:rFonts w:hint="default"/>
        <w:lang w:val="zh-CN" w:eastAsia="zh-CN" w:bidi="zh-CN"/>
      </w:rPr>
    </w:lvl>
  </w:abstractNum>
  <w:abstractNum w:abstractNumId="78">
    <w:nsid w:val="6D94064B"/>
    <w:multiLevelType w:val="multilevel"/>
    <w:tmpl w:val="6D94064B"/>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79">
    <w:nsid w:val="6E4A6844"/>
    <w:multiLevelType w:val="multilevel"/>
    <w:tmpl w:val="6E4A6844"/>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80">
    <w:nsid w:val="705253B5"/>
    <w:multiLevelType w:val="multilevel"/>
    <w:tmpl w:val="705253B5"/>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81">
    <w:nsid w:val="70B75D2A"/>
    <w:multiLevelType w:val="multilevel"/>
    <w:tmpl w:val="70B75D2A"/>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82">
    <w:nsid w:val="718668E2"/>
    <w:multiLevelType w:val="multilevel"/>
    <w:tmpl w:val="718668E2"/>
    <w:lvl w:ilvl="0" w:tentative="0">
      <w:start w:val="9"/>
      <w:numFmt w:val="decimal"/>
      <w:lvlText w:val="%1"/>
      <w:lvlJc w:val="left"/>
      <w:pPr>
        <w:ind w:left="638" w:hanging="426"/>
      </w:pPr>
      <w:rPr>
        <w:rFonts w:hint="default"/>
        <w:lang w:val="zh-CN" w:eastAsia="zh-CN" w:bidi="zh-CN"/>
      </w:rPr>
    </w:lvl>
    <w:lvl w:ilvl="1" w:tentative="0">
      <w:start w:val="1"/>
      <w:numFmt w:val="decimal"/>
      <w:lvlText w:val="%1.%2"/>
      <w:lvlJc w:val="left"/>
      <w:pPr>
        <w:ind w:left="638" w:hanging="426"/>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62" w:hanging="529"/>
      </w:pPr>
      <w:rPr>
        <w:rFonts w:hint="default" w:ascii="宋体" w:hAnsi="宋体" w:eastAsia="宋体" w:cs="宋体"/>
        <w:w w:val="100"/>
        <w:sz w:val="19"/>
        <w:szCs w:val="19"/>
        <w:lang w:val="zh-CN" w:eastAsia="zh-CN" w:bidi="zh-CN"/>
      </w:rPr>
    </w:lvl>
    <w:lvl w:ilvl="3" w:tentative="0">
      <w:start w:val="0"/>
      <w:numFmt w:val="bullet"/>
      <w:lvlText w:val="•"/>
      <w:lvlJc w:val="left"/>
      <w:pPr>
        <w:ind w:left="3188" w:hanging="529"/>
      </w:pPr>
      <w:rPr>
        <w:rFonts w:hint="default"/>
        <w:lang w:val="zh-CN" w:eastAsia="zh-CN" w:bidi="zh-CN"/>
      </w:rPr>
    </w:lvl>
    <w:lvl w:ilvl="4" w:tentative="0">
      <w:start w:val="0"/>
      <w:numFmt w:val="bullet"/>
      <w:lvlText w:val="•"/>
      <w:lvlJc w:val="left"/>
      <w:pPr>
        <w:ind w:left="4202" w:hanging="529"/>
      </w:pPr>
      <w:rPr>
        <w:rFonts w:hint="default"/>
        <w:lang w:val="zh-CN" w:eastAsia="zh-CN" w:bidi="zh-CN"/>
      </w:rPr>
    </w:lvl>
    <w:lvl w:ilvl="5" w:tentative="0">
      <w:start w:val="0"/>
      <w:numFmt w:val="bullet"/>
      <w:lvlText w:val="•"/>
      <w:lvlJc w:val="left"/>
      <w:pPr>
        <w:ind w:left="5216" w:hanging="529"/>
      </w:pPr>
      <w:rPr>
        <w:rFonts w:hint="default"/>
        <w:lang w:val="zh-CN" w:eastAsia="zh-CN" w:bidi="zh-CN"/>
      </w:rPr>
    </w:lvl>
    <w:lvl w:ilvl="6" w:tentative="0">
      <w:start w:val="0"/>
      <w:numFmt w:val="bullet"/>
      <w:lvlText w:val="•"/>
      <w:lvlJc w:val="left"/>
      <w:pPr>
        <w:ind w:left="6230" w:hanging="529"/>
      </w:pPr>
      <w:rPr>
        <w:rFonts w:hint="default"/>
        <w:lang w:val="zh-CN" w:eastAsia="zh-CN" w:bidi="zh-CN"/>
      </w:rPr>
    </w:lvl>
    <w:lvl w:ilvl="7" w:tentative="0">
      <w:start w:val="0"/>
      <w:numFmt w:val="bullet"/>
      <w:lvlText w:val="•"/>
      <w:lvlJc w:val="left"/>
      <w:pPr>
        <w:ind w:left="7244" w:hanging="529"/>
      </w:pPr>
      <w:rPr>
        <w:rFonts w:hint="default"/>
        <w:lang w:val="zh-CN" w:eastAsia="zh-CN" w:bidi="zh-CN"/>
      </w:rPr>
    </w:lvl>
    <w:lvl w:ilvl="8" w:tentative="0">
      <w:start w:val="0"/>
      <w:numFmt w:val="bullet"/>
      <w:lvlText w:val="•"/>
      <w:lvlJc w:val="left"/>
      <w:pPr>
        <w:ind w:left="8258" w:hanging="529"/>
      </w:pPr>
      <w:rPr>
        <w:rFonts w:hint="default"/>
        <w:lang w:val="zh-CN" w:eastAsia="zh-CN" w:bidi="zh-CN"/>
      </w:rPr>
    </w:lvl>
  </w:abstractNum>
  <w:abstractNum w:abstractNumId="83">
    <w:nsid w:val="735A08BD"/>
    <w:multiLevelType w:val="multilevel"/>
    <w:tmpl w:val="735A08BD"/>
    <w:lvl w:ilvl="0" w:tentative="0">
      <w:start w:val="1"/>
      <w:numFmt w:val="decimal"/>
      <w:lvlText w:val="%1."/>
      <w:lvlJc w:val="left"/>
      <w:pPr>
        <w:ind w:left="451" w:hanging="213"/>
      </w:pPr>
      <w:rPr>
        <w:rFonts w:hint="default" w:ascii="Times New Roman" w:hAnsi="Times New Roman" w:eastAsia="Times New Roman" w:cs="Times New Roman"/>
        <w:spacing w:val="-3"/>
        <w:w w:val="100"/>
        <w:sz w:val="26"/>
        <w:szCs w:val="26"/>
        <w:lang w:val="zh-CN" w:eastAsia="zh-CN" w:bidi="zh-CN"/>
      </w:rPr>
    </w:lvl>
    <w:lvl w:ilvl="1" w:tentative="0">
      <w:start w:val="1"/>
      <w:numFmt w:val="decimal"/>
      <w:lvlText w:val="%1.%2"/>
      <w:lvlJc w:val="left"/>
      <w:pPr>
        <w:ind w:left="598" w:hanging="360"/>
      </w:pPr>
      <w:rPr>
        <w:rFonts w:hint="default"/>
        <w:w w:val="100"/>
        <w:lang w:val="zh-CN" w:eastAsia="zh-CN" w:bidi="zh-CN"/>
      </w:rPr>
    </w:lvl>
    <w:lvl w:ilvl="2" w:tentative="0">
      <w:start w:val="1"/>
      <w:numFmt w:val="decimal"/>
      <w:lvlText w:val="%1.%2.%3"/>
      <w:lvlJc w:val="left"/>
      <w:pPr>
        <w:ind w:left="238" w:hanging="360"/>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660" w:hanging="360"/>
      </w:pPr>
      <w:rPr>
        <w:rFonts w:hint="default"/>
        <w:lang w:val="zh-CN" w:eastAsia="zh-CN" w:bidi="zh-CN"/>
      </w:rPr>
    </w:lvl>
    <w:lvl w:ilvl="4" w:tentative="0">
      <w:start w:val="0"/>
      <w:numFmt w:val="bullet"/>
      <w:lvlText w:val="•"/>
      <w:lvlJc w:val="left"/>
      <w:pPr>
        <w:ind w:left="1140" w:hanging="360"/>
      </w:pPr>
      <w:rPr>
        <w:rFonts w:hint="default"/>
        <w:lang w:val="zh-CN" w:eastAsia="zh-CN" w:bidi="zh-CN"/>
      </w:rPr>
    </w:lvl>
    <w:lvl w:ilvl="5" w:tentative="0">
      <w:start w:val="0"/>
      <w:numFmt w:val="bullet"/>
      <w:lvlText w:val="•"/>
      <w:lvlJc w:val="left"/>
      <w:pPr>
        <w:ind w:left="1180" w:hanging="360"/>
      </w:pPr>
      <w:rPr>
        <w:rFonts w:hint="default"/>
        <w:lang w:val="zh-CN" w:eastAsia="zh-CN" w:bidi="zh-CN"/>
      </w:rPr>
    </w:lvl>
    <w:lvl w:ilvl="6" w:tentative="0">
      <w:start w:val="0"/>
      <w:numFmt w:val="bullet"/>
      <w:lvlText w:val="•"/>
      <w:lvlJc w:val="left"/>
      <w:pPr>
        <w:ind w:left="1300" w:hanging="360"/>
      </w:pPr>
      <w:rPr>
        <w:rFonts w:hint="default"/>
        <w:lang w:val="zh-CN" w:eastAsia="zh-CN" w:bidi="zh-CN"/>
      </w:rPr>
    </w:lvl>
    <w:lvl w:ilvl="7" w:tentative="0">
      <w:start w:val="0"/>
      <w:numFmt w:val="bullet"/>
      <w:lvlText w:val="•"/>
      <w:lvlJc w:val="left"/>
      <w:pPr>
        <w:ind w:left="3356" w:hanging="360"/>
      </w:pPr>
      <w:rPr>
        <w:rFonts w:hint="default"/>
        <w:lang w:val="zh-CN" w:eastAsia="zh-CN" w:bidi="zh-CN"/>
      </w:rPr>
    </w:lvl>
    <w:lvl w:ilvl="8" w:tentative="0">
      <w:start w:val="0"/>
      <w:numFmt w:val="bullet"/>
      <w:lvlText w:val="•"/>
      <w:lvlJc w:val="left"/>
      <w:pPr>
        <w:ind w:left="5413" w:hanging="360"/>
      </w:pPr>
      <w:rPr>
        <w:rFonts w:hint="default"/>
        <w:lang w:val="zh-CN" w:eastAsia="zh-CN" w:bidi="zh-CN"/>
      </w:rPr>
    </w:lvl>
  </w:abstractNum>
  <w:abstractNum w:abstractNumId="84">
    <w:nsid w:val="74DD102E"/>
    <w:multiLevelType w:val="multilevel"/>
    <w:tmpl w:val="74DD102E"/>
    <w:lvl w:ilvl="0" w:tentative="0">
      <w:start w:val="1"/>
      <w:numFmt w:val="decimal"/>
      <w:lvlText w:val="（%1）"/>
      <w:lvlJc w:val="left"/>
      <w:pPr>
        <w:ind w:left="212" w:hanging="529"/>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226" w:hanging="529"/>
      </w:pPr>
      <w:rPr>
        <w:rFonts w:hint="default"/>
        <w:lang w:val="zh-CN" w:eastAsia="zh-CN" w:bidi="zh-CN"/>
      </w:rPr>
    </w:lvl>
    <w:lvl w:ilvl="2" w:tentative="0">
      <w:start w:val="0"/>
      <w:numFmt w:val="bullet"/>
      <w:lvlText w:val="•"/>
      <w:lvlJc w:val="left"/>
      <w:pPr>
        <w:ind w:left="2233" w:hanging="529"/>
      </w:pPr>
      <w:rPr>
        <w:rFonts w:hint="default"/>
        <w:lang w:val="zh-CN" w:eastAsia="zh-CN" w:bidi="zh-CN"/>
      </w:rPr>
    </w:lvl>
    <w:lvl w:ilvl="3" w:tentative="0">
      <w:start w:val="0"/>
      <w:numFmt w:val="bullet"/>
      <w:lvlText w:val="•"/>
      <w:lvlJc w:val="left"/>
      <w:pPr>
        <w:ind w:left="3239" w:hanging="529"/>
      </w:pPr>
      <w:rPr>
        <w:rFonts w:hint="default"/>
        <w:lang w:val="zh-CN" w:eastAsia="zh-CN" w:bidi="zh-CN"/>
      </w:rPr>
    </w:lvl>
    <w:lvl w:ilvl="4" w:tentative="0">
      <w:start w:val="0"/>
      <w:numFmt w:val="bullet"/>
      <w:lvlText w:val="•"/>
      <w:lvlJc w:val="left"/>
      <w:pPr>
        <w:ind w:left="4246" w:hanging="529"/>
      </w:pPr>
      <w:rPr>
        <w:rFonts w:hint="default"/>
        <w:lang w:val="zh-CN" w:eastAsia="zh-CN" w:bidi="zh-CN"/>
      </w:rPr>
    </w:lvl>
    <w:lvl w:ilvl="5" w:tentative="0">
      <w:start w:val="0"/>
      <w:numFmt w:val="bullet"/>
      <w:lvlText w:val="•"/>
      <w:lvlJc w:val="left"/>
      <w:pPr>
        <w:ind w:left="5253" w:hanging="529"/>
      </w:pPr>
      <w:rPr>
        <w:rFonts w:hint="default"/>
        <w:lang w:val="zh-CN" w:eastAsia="zh-CN" w:bidi="zh-CN"/>
      </w:rPr>
    </w:lvl>
    <w:lvl w:ilvl="6" w:tentative="0">
      <w:start w:val="0"/>
      <w:numFmt w:val="bullet"/>
      <w:lvlText w:val="•"/>
      <w:lvlJc w:val="left"/>
      <w:pPr>
        <w:ind w:left="6259" w:hanging="529"/>
      </w:pPr>
      <w:rPr>
        <w:rFonts w:hint="default"/>
        <w:lang w:val="zh-CN" w:eastAsia="zh-CN" w:bidi="zh-CN"/>
      </w:rPr>
    </w:lvl>
    <w:lvl w:ilvl="7" w:tentative="0">
      <w:start w:val="0"/>
      <w:numFmt w:val="bullet"/>
      <w:lvlText w:val="•"/>
      <w:lvlJc w:val="left"/>
      <w:pPr>
        <w:ind w:left="7266" w:hanging="529"/>
      </w:pPr>
      <w:rPr>
        <w:rFonts w:hint="default"/>
        <w:lang w:val="zh-CN" w:eastAsia="zh-CN" w:bidi="zh-CN"/>
      </w:rPr>
    </w:lvl>
    <w:lvl w:ilvl="8" w:tentative="0">
      <w:start w:val="0"/>
      <w:numFmt w:val="bullet"/>
      <w:lvlText w:val="•"/>
      <w:lvlJc w:val="left"/>
      <w:pPr>
        <w:ind w:left="8273" w:hanging="529"/>
      </w:pPr>
      <w:rPr>
        <w:rFonts w:hint="default"/>
        <w:lang w:val="zh-CN" w:eastAsia="zh-CN" w:bidi="zh-CN"/>
      </w:rPr>
    </w:lvl>
  </w:abstractNum>
  <w:abstractNum w:abstractNumId="85">
    <w:nsid w:val="75102891"/>
    <w:multiLevelType w:val="multilevel"/>
    <w:tmpl w:val="75102891"/>
    <w:lvl w:ilvl="0" w:tentative="0">
      <w:start w:val="1"/>
      <w:numFmt w:val="decimal"/>
      <w:lvlText w:val="%1"/>
      <w:lvlJc w:val="left"/>
      <w:pPr>
        <w:ind w:left="1158" w:hanging="526"/>
      </w:pPr>
      <w:rPr>
        <w:rFonts w:hint="default"/>
        <w:lang w:val="zh-CN" w:eastAsia="zh-CN" w:bidi="zh-CN"/>
      </w:rPr>
    </w:lvl>
    <w:lvl w:ilvl="1" w:tentative="0">
      <w:start w:val="6"/>
      <w:numFmt w:val="decimal"/>
      <w:lvlText w:val="%1.%2"/>
      <w:lvlJc w:val="left"/>
      <w:pPr>
        <w:ind w:left="1158" w:hanging="526"/>
      </w:pPr>
      <w:rPr>
        <w:rFonts w:hint="default"/>
        <w:lang w:val="zh-CN" w:eastAsia="zh-CN" w:bidi="zh-CN"/>
      </w:rPr>
    </w:lvl>
    <w:lvl w:ilvl="2" w:tentative="0">
      <w:start w:val="2"/>
      <w:numFmt w:val="decimal"/>
      <w:lvlText w:val="%1.%2.%3"/>
      <w:lvlJc w:val="left"/>
      <w:pPr>
        <w:ind w:left="1158"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97" w:hanging="526"/>
      </w:pPr>
      <w:rPr>
        <w:rFonts w:hint="default"/>
        <w:lang w:val="zh-CN" w:eastAsia="zh-CN" w:bidi="zh-CN"/>
      </w:rPr>
    </w:lvl>
    <w:lvl w:ilvl="4" w:tentative="0">
      <w:start w:val="0"/>
      <w:numFmt w:val="bullet"/>
      <w:lvlText w:val="•"/>
      <w:lvlJc w:val="left"/>
      <w:pPr>
        <w:ind w:left="4810" w:hanging="526"/>
      </w:pPr>
      <w:rPr>
        <w:rFonts w:hint="default"/>
        <w:lang w:val="zh-CN" w:eastAsia="zh-CN" w:bidi="zh-CN"/>
      </w:rPr>
    </w:lvl>
    <w:lvl w:ilvl="5" w:tentative="0">
      <w:start w:val="0"/>
      <w:numFmt w:val="bullet"/>
      <w:lvlText w:val="•"/>
      <w:lvlJc w:val="left"/>
      <w:pPr>
        <w:ind w:left="5723" w:hanging="526"/>
      </w:pPr>
      <w:rPr>
        <w:rFonts w:hint="default"/>
        <w:lang w:val="zh-CN" w:eastAsia="zh-CN" w:bidi="zh-CN"/>
      </w:rPr>
    </w:lvl>
    <w:lvl w:ilvl="6" w:tentative="0">
      <w:start w:val="0"/>
      <w:numFmt w:val="bullet"/>
      <w:lvlText w:val="•"/>
      <w:lvlJc w:val="left"/>
      <w:pPr>
        <w:ind w:left="6635" w:hanging="526"/>
      </w:pPr>
      <w:rPr>
        <w:rFonts w:hint="default"/>
        <w:lang w:val="zh-CN" w:eastAsia="zh-CN" w:bidi="zh-CN"/>
      </w:rPr>
    </w:lvl>
    <w:lvl w:ilvl="7" w:tentative="0">
      <w:start w:val="0"/>
      <w:numFmt w:val="bullet"/>
      <w:lvlText w:val="•"/>
      <w:lvlJc w:val="left"/>
      <w:pPr>
        <w:ind w:left="7548" w:hanging="526"/>
      </w:pPr>
      <w:rPr>
        <w:rFonts w:hint="default"/>
        <w:lang w:val="zh-CN" w:eastAsia="zh-CN" w:bidi="zh-CN"/>
      </w:rPr>
    </w:lvl>
    <w:lvl w:ilvl="8" w:tentative="0">
      <w:start w:val="0"/>
      <w:numFmt w:val="bullet"/>
      <w:lvlText w:val="•"/>
      <w:lvlJc w:val="left"/>
      <w:pPr>
        <w:ind w:left="8461" w:hanging="526"/>
      </w:pPr>
      <w:rPr>
        <w:rFonts w:hint="default"/>
        <w:lang w:val="zh-CN" w:eastAsia="zh-CN" w:bidi="zh-CN"/>
      </w:rPr>
    </w:lvl>
  </w:abstractNum>
  <w:abstractNum w:abstractNumId="86">
    <w:nsid w:val="75267B09"/>
    <w:multiLevelType w:val="multilevel"/>
    <w:tmpl w:val="75267B09"/>
    <w:lvl w:ilvl="0" w:tentative="0">
      <w:start w:val="1"/>
      <w:numFmt w:val="decimal"/>
      <w:lvlText w:val="（%1）"/>
      <w:lvlJc w:val="left"/>
      <w:pPr>
        <w:ind w:left="212" w:hanging="532"/>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87">
    <w:nsid w:val="75964552"/>
    <w:multiLevelType w:val="multilevel"/>
    <w:tmpl w:val="75964552"/>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88">
    <w:nsid w:val="768B1130"/>
    <w:multiLevelType w:val="multilevel"/>
    <w:tmpl w:val="768B1130"/>
    <w:lvl w:ilvl="0" w:tentative="0">
      <w:start w:val="1"/>
      <w:numFmt w:val="decimal"/>
      <w:lvlText w:val="（%1）"/>
      <w:lvlJc w:val="left"/>
      <w:pPr>
        <w:ind w:left="212" w:hanging="532"/>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226" w:hanging="532"/>
      </w:pPr>
      <w:rPr>
        <w:rFonts w:hint="default"/>
        <w:lang w:val="zh-CN" w:eastAsia="zh-CN" w:bidi="zh-CN"/>
      </w:rPr>
    </w:lvl>
    <w:lvl w:ilvl="2" w:tentative="0">
      <w:start w:val="0"/>
      <w:numFmt w:val="bullet"/>
      <w:lvlText w:val="•"/>
      <w:lvlJc w:val="left"/>
      <w:pPr>
        <w:ind w:left="2233" w:hanging="532"/>
      </w:pPr>
      <w:rPr>
        <w:rFonts w:hint="default"/>
        <w:lang w:val="zh-CN" w:eastAsia="zh-CN" w:bidi="zh-CN"/>
      </w:rPr>
    </w:lvl>
    <w:lvl w:ilvl="3" w:tentative="0">
      <w:start w:val="0"/>
      <w:numFmt w:val="bullet"/>
      <w:lvlText w:val="•"/>
      <w:lvlJc w:val="left"/>
      <w:pPr>
        <w:ind w:left="3239" w:hanging="532"/>
      </w:pPr>
      <w:rPr>
        <w:rFonts w:hint="default"/>
        <w:lang w:val="zh-CN" w:eastAsia="zh-CN" w:bidi="zh-CN"/>
      </w:rPr>
    </w:lvl>
    <w:lvl w:ilvl="4" w:tentative="0">
      <w:start w:val="0"/>
      <w:numFmt w:val="bullet"/>
      <w:lvlText w:val="•"/>
      <w:lvlJc w:val="left"/>
      <w:pPr>
        <w:ind w:left="4246" w:hanging="532"/>
      </w:pPr>
      <w:rPr>
        <w:rFonts w:hint="default"/>
        <w:lang w:val="zh-CN" w:eastAsia="zh-CN" w:bidi="zh-CN"/>
      </w:rPr>
    </w:lvl>
    <w:lvl w:ilvl="5" w:tentative="0">
      <w:start w:val="0"/>
      <w:numFmt w:val="bullet"/>
      <w:lvlText w:val="•"/>
      <w:lvlJc w:val="left"/>
      <w:pPr>
        <w:ind w:left="5253" w:hanging="532"/>
      </w:pPr>
      <w:rPr>
        <w:rFonts w:hint="default"/>
        <w:lang w:val="zh-CN" w:eastAsia="zh-CN" w:bidi="zh-CN"/>
      </w:rPr>
    </w:lvl>
    <w:lvl w:ilvl="6" w:tentative="0">
      <w:start w:val="0"/>
      <w:numFmt w:val="bullet"/>
      <w:lvlText w:val="•"/>
      <w:lvlJc w:val="left"/>
      <w:pPr>
        <w:ind w:left="6259" w:hanging="532"/>
      </w:pPr>
      <w:rPr>
        <w:rFonts w:hint="default"/>
        <w:lang w:val="zh-CN" w:eastAsia="zh-CN" w:bidi="zh-CN"/>
      </w:rPr>
    </w:lvl>
    <w:lvl w:ilvl="7" w:tentative="0">
      <w:start w:val="0"/>
      <w:numFmt w:val="bullet"/>
      <w:lvlText w:val="•"/>
      <w:lvlJc w:val="left"/>
      <w:pPr>
        <w:ind w:left="7266" w:hanging="532"/>
      </w:pPr>
      <w:rPr>
        <w:rFonts w:hint="default"/>
        <w:lang w:val="zh-CN" w:eastAsia="zh-CN" w:bidi="zh-CN"/>
      </w:rPr>
    </w:lvl>
    <w:lvl w:ilvl="8" w:tentative="0">
      <w:start w:val="0"/>
      <w:numFmt w:val="bullet"/>
      <w:lvlText w:val="•"/>
      <w:lvlJc w:val="left"/>
      <w:pPr>
        <w:ind w:left="8273" w:hanging="532"/>
      </w:pPr>
      <w:rPr>
        <w:rFonts w:hint="default"/>
        <w:lang w:val="zh-CN" w:eastAsia="zh-CN" w:bidi="zh-CN"/>
      </w:rPr>
    </w:lvl>
  </w:abstractNum>
  <w:abstractNum w:abstractNumId="89">
    <w:nsid w:val="77ECEA79"/>
    <w:multiLevelType w:val="multilevel"/>
    <w:tmpl w:val="77ECEA79"/>
    <w:lvl w:ilvl="0" w:tentative="0">
      <w:start w:val="1"/>
      <w:numFmt w:val="decimal"/>
      <w:lvlText w:val="%1."/>
      <w:lvlJc w:val="left"/>
      <w:pPr>
        <w:ind w:left="986"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998" w:hanging="318"/>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209"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200" w:hanging="529"/>
      </w:pPr>
      <w:rPr>
        <w:rFonts w:hint="default"/>
        <w:lang w:val="zh-CN" w:eastAsia="zh-CN" w:bidi="zh-CN"/>
      </w:rPr>
    </w:lvl>
    <w:lvl w:ilvl="4" w:tentative="0">
      <w:start w:val="0"/>
      <w:numFmt w:val="bullet"/>
      <w:lvlText w:val="•"/>
      <w:lvlJc w:val="left"/>
      <w:pPr>
        <w:ind w:left="1323" w:hanging="529"/>
      </w:pPr>
      <w:rPr>
        <w:rFonts w:hint="default"/>
        <w:lang w:val="zh-CN" w:eastAsia="zh-CN" w:bidi="zh-CN"/>
      </w:rPr>
    </w:lvl>
    <w:lvl w:ilvl="5" w:tentative="0">
      <w:start w:val="0"/>
      <w:numFmt w:val="bullet"/>
      <w:lvlText w:val="•"/>
      <w:lvlJc w:val="left"/>
      <w:pPr>
        <w:ind w:left="1447" w:hanging="529"/>
      </w:pPr>
      <w:rPr>
        <w:rFonts w:hint="default"/>
        <w:lang w:val="zh-CN" w:eastAsia="zh-CN" w:bidi="zh-CN"/>
      </w:rPr>
    </w:lvl>
    <w:lvl w:ilvl="6" w:tentative="0">
      <w:start w:val="0"/>
      <w:numFmt w:val="bullet"/>
      <w:lvlText w:val="•"/>
      <w:lvlJc w:val="left"/>
      <w:pPr>
        <w:ind w:left="1571" w:hanging="529"/>
      </w:pPr>
      <w:rPr>
        <w:rFonts w:hint="default"/>
        <w:lang w:val="zh-CN" w:eastAsia="zh-CN" w:bidi="zh-CN"/>
      </w:rPr>
    </w:lvl>
    <w:lvl w:ilvl="7" w:tentative="0">
      <w:start w:val="0"/>
      <w:numFmt w:val="bullet"/>
      <w:lvlText w:val="•"/>
      <w:lvlJc w:val="left"/>
      <w:pPr>
        <w:ind w:left="1695" w:hanging="529"/>
      </w:pPr>
      <w:rPr>
        <w:rFonts w:hint="default"/>
        <w:lang w:val="zh-CN" w:eastAsia="zh-CN" w:bidi="zh-CN"/>
      </w:rPr>
    </w:lvl>
    <w:lvl w:ilvl="8" w:tentative="0">
      <w:start w:val="0"/>
      <w:numFmt w:val="bullet"/>
      <w:lvlText w:val="•"/>
      <w:lvlJc w:val="left"/>
      <w:pPr>
        <w:ind w:left="1819" w:hanging="529"/>
      </w:pPr>
      <w:rPr>
        <w:rFonts w:hint="default"/>
        <w:lang w:val="zh-CN" w:eastAsia="zh-CN" w:bidi="zh-CN"/>
      </w:rPr>
    </w:lvl>
  </w:abstractNum>
  <w:abstractNum w:abstractNumId="90">
    <w:nsid w:val="7A056D3C"/>
    <w:multiLevelType w:val="multilevel"/>
    <w:tmpl w:val="7A056D3C"/>
    <w:lvl w:ilvl="0" w:tentative="0">
      <w:start w:val="1"/>
      <w:numFmt w:val="decimal"/>
      <w:lvlText w:val="（%1）"/>
      <w:lvlJc w:val="left"/>
      <w:pPr>
        <w:ind w:left="116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72" w:hanging="529"/>
      </w:pPr>
      <w:rPr>
        <w:rFonts w:hint="default"/>
        <w:lang w:val="zh-CN" w:eastAsia="zh-CN" w:bidi="zh-CN"/>
      </w:rPr>
    </w:lvl>
    <w:lvl w:ilvl="2" w:tentative="0">
      <w:start w:val="0"/>
      <w:numFmt w:val="bullet"/>
      <w:lvlText w:val="•"/>
      <w:lvlJc w:val="left"/>
      <w:pPr>
        <w:ind w:left="2985" w:hanging="529"/>
      </w:pPr>
      <w:rPr>
        <w:rFonts w:hint="default"/>
        <w:lang w:val="zh-CN" w:eastAsia="zh-CN" w:bidi="zh-CN"/>
      </w:rPr>
    </w:lvl>
    <w:lvl w:ilvl="3" w:tentative="0">
      <w:start w:val="0"/>
      <w:numFmt w:val="bullet"/>
      <w:lvlText w:val="•"/>
      <w:lvlJc w:val="left"/>
      <w:pPr>
        <w:ind w:left="3897" w:hanging="529"/>
      </w:pPr>
      <w:rPr>
        <w:rFonts w:hint="default"/>
        <w:lang w:val="zh-CN" w:eastAsia="zh-CN" w:bidi="zh-CN"/>
      </w:rPr>
    </w:lvl>
    <w:lvl w:ilvl="4" w:tentative="0">
      <w:start w:val="0"/>
      <w:numFmt w:val="bullet"/>
      <w:lvlText w:val="•"/>
      <w:lvlJc w:val="left"/>
      <w:pPr>
        <w:ind w:left="4810" w:hanging="529"/>
      </w:pPr>
      <w:rPr>
        <w:rFonts w:hint="default"/>
        <w:lang w:val="zh-CN" w:eastAsia="zh-CN" w:bidi="zh-CN"/>
      </w:rPr>
    </w:lvl>
    <w:lvl w:ilvl="5" w:tentative="0">
      <w:start w:val="0"/>
      <w:numFmt w:val="bullet"/>
      <w:lvlText w:val="•"/>
      <w:lvlJc w:val="left"/>
      <w:pPr>
        <w:ind w:left="572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61" w:hanging="529"/>
      </w:pPr>
      <w:rPr>
        <w:rFonts w:hint="default"/>
        <w:lang w:val="zh-CN" w:eastAsia="zh-CN" w:bidi="zh-CN"/>
      </w:rPr>
    </w:lvl>
  </w:abstractNum>
  <w:abstractNum w:abstractNumId="91">
    <w:nsid w:val="7AFB47A8"/>
    <w:multiLevelType w:val="multilevel"/>
    <w:tmpl w:val="7AFB47A8"/>
    <w:lvl w:ilvl="0" w:tentative="0">
      <w:start w:val="1"/>
      <w:numFmt w:val="decimal"/>
      <w:lvlText w:val="（%1）"/>
      <w:lvlJc w:val="left"/>
      <w:pPr>
        <w:ind w:left="10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64" w:hanging="529"/>
      </w:pPr>
      <w:rPr>
        <w:rFonts w:hint="default"/>
        <w:lang w:val="zh-CN" w:eastAsia="zh-CN" w:bidi="zh-CN"/>
      </w:rPr>
    </w:lvl>
    <w:lvl w:ilvl="2" w:tentative="0">
      <w:start w:val="0"/>
      <w:numFmt w:val="bullet"/>
      <w:lvlText w:val="•"/>
      <w:lvlJc w:val="left"/>
      <w:pPr>
        <w:ind w:left="2889" w:hanging="529"/>
      </w:pPr>
      <w:rPr>
        <w:rFonts w:hint="default"/>
        <w:lang w:val="zh-CN" w:eastAsia="zh-CN" w:bidi="zh-CN"/>
      </w:rPr>
    </w:lvl>
    <w:lvl w:ilvl="3" w:tentative="0">
      <w:start w:val="0"/>
      <w:numFmt w:val="bullet"/>
      <w:lvlText w:val="•"/>
      <w:lvlJc w:val="left"/>
      <w:pPr>
        <w:ind w:left="3813" w:hanging="529"/>
      </w:pPr>
      <w:rPr>
        <w:rFonts w:hint="default"/>
        <w:lang w:val="zh-CN" w:eastAsia="zh-CN" w:bidi="zh-CN"/>
      </w:rPr>
    </w:lvl>
    <w:lvl w:ilvl="4" w:tentative="0">
      <w:start w:val="0"/>
      <w:numFmt w:val="bullet"/>
      <w:lvlText w:val="•"/>
      <w:lvlJc w:val="left"/>
      <w:pPr>
        <w:ind w:left="4738" w:hanging="529"/>
      </w:pPr>
      <w:rPr>
        <w:rFonts w:hint="default"/>
        <w:lang w:val="zh-CN" w:eastAsia="zh-CN" w:bidi="zh-CN"/>
      </w:rPr>
    </w:lvl>
    <w:lvl w:ilvl="5" w:tentative="0">
      <w:start w:val="0"/>
      <w:numFmt w:val="bullet"/>
      <w:lvlText w:val="•"/>
      <w:lvlJc w:val="left"/>
      <w:pPr>
        <w:ind w:left="5663" w:hanging="529"/>
      </w:pPr>
      <w:rPr>
        <w:rFonts w:hint="default"/>
        <w:lang w:val="zh-CN" w:eastAsia="zh-CN" w:bidi="zh-CN"/>
      </w:rPr>
    </w:lvl>
    <w:lvl w:ilvl="6" w:tentative="0">
      <w:start w:val="0"/>
      <w:numFmt w:val="bullet"/>
      <w:lvlText w:val="•"/>
      <w:lvlJc w:val="left"/>
      <w:pPr>
        <w:ind w:left="6587" w:hanging="529"/>
      </w:pPr>
      <w:rPr>
        <w:rFonts w:hint="default"/>
        <w:lang w:val="zh-CN" w:eastAsia="zh-CN" w:bidi="zh-CN"/>
      </w:rPr>
    </w:lvl>
    <w:lvl w:ilvl="7" w:tentative="0">
      <w:start w:val="0"/>
      <w:numFmt w:val="bullet"/>
      <w:lvlText w:val="•"/>
      <w:lvlJc w:val="left"/>
      <w:pPr>
        <w:ind w:left="7512" w:hanging="529"/>
      </w:pPr>
      <w:rPr>
        <w:rFonts w:hint="default"/>
        <w:lang w:val="zh-CN" w:eastAsia="zh-CN" w:bidi="zh-CN"/>
      </w:rPr>
    </w:lvl>
    <w:lvl w:ilvl="8" w:tentative="0">
      <w:start w:val="0"/>
      <w:numFmt w:val="bullet"/>
      <w:lvlText w:val="•"/>
      <w:lvlJc w:val="left"/>
      <w:pPr>
        <w:ind w:left="8437" w:hanging="529"/>
      </w:pPr>
      <w:rPr>
        <w:rFonts w:hint="default"/>
        <w:lang w:val="zh-CN" w:eastAsia="zh-CN" w:bidi="zh-CN"/>
      </w:rPr>
    </w:lvl>
  </w:abstractNum>
  <w:abstractNum w:abstractNumId="92">
    <w:nsid w:val="7BCD2B77"/>
    <w:multiLevelType w:val="multilevel"/>
    <w:tmpl w:val="7BCD2B77"/>
    <w:lvl w:ilvl="0" w:tentative="0">
      <w:start w:val="7"/>
      <w:numFmt w:val="decimal"/>
      <w:lvlText w:val="%1"/>
      <w:lvlJc w:val="left"/>
      <w:pPr>
        <w:ind w:left="633" w:hanging="421"/>
      </w:pPr>
      <w:rPr>
        <w:rFonts w:hint="default"/>
        <w:lang w:val="zh-CN" w:eastAsia="zh-CN" w:bidi="zh-CN"/>
      </w:rPr>
    </w:lvl>
    <w:lvl w:ilvl="1" w:tentative="0">
      <w:start w:val="2"/>
      <w:numFmt w:val="decimal"/>
      <w:lvlText w:val="%1.%2"/>
      <w:lvlJc w:val="left"/>
      <w:pPr>
        <w:ind w:left="633" w:hanging="421"/>
      </w:pPr>
      <w:rPr>
        <w:rFonts w:hint="default" w:ascii="Times New Roman" w:hAnsi="Times New Roman" w:eastAsia="Times New Roman" w:cs="Times New Roman"/>
        <w:b/>
        <w:bCs/>
        <w:spacing w:val="-2"/>
        <w:w w:val="99"/>
        <w:sz w:val="24"/>
        <w:szCs w:val="24"/>
        <w:lang w:val="zh-CN" w:eastAsia="zh-CN" w:bidi="zh-CN"/>
      </w:rPr>
    </w:lvl>
    <w:lvl w:ilvl="2" w:tentative="0">
      <w:start w:val="1"/>
      <w:numFmt w:val="decimal"/>
      <w:lvlText w:val="%1.%2.%3"/>
      <w:lvlJc w:val="left"/>
      <w:pPr>
        <w:ind w:left="1056" w:hanging="424"/>
      </w:pPr>
      <w:rPr>
        <w:rFonts w:hint="default" w:ascii="Times New Roman" w:hAnsi="Times New Roman" w:eastAsia="Times New Roman" w:cs="Times New Roman"/>
        <w:w w:val="100"/>
        <w:sz w:val="19"/>
        <w:szCs w:val="19"/>
        <w:lang w:val="zh-CN" w:eastAsia="zh-CN" w:bidi="zh-CN"/>
      </w:rPr>
    </w:lvl>
    <w:lvl w:ilvl="3" w:tentative="0">
      <w:start w:val="0"/>
      <w:numFmt w:val="bullet"/>
      <w:lvlText w:val="•"/>
      <w:lvlJc w:val="left"/>
      <w:pPr>
        <w:ind w:left="3110" w:hanging="424"/>
      </w:pPr>
      <w:rPr>
        <w:rFonts w:hint="default"/>
        <w:lang w:val="zh-CN" w:eastAsia="zh-CN" w:bidi="zh-CN"/>
      </w:rPr>
    </w:lvl>
    <w:lvl w:ilvl="4" w:tentative="0">
      <w:start w:val="0"/>
      <w:numFmt w:val="bullet"/>
      <w:lvlText w:val="•"/>
      <w:lvlJc w:val="left"/>
      <w:pPr>
        <w:ind w:left="4135" w:hanging="424"/>
      </w:pPr>
      <w:rPr>
        <w:rFonts w:hint="default"/>
        <w:lang w:val="zh-CN" w:eastAsia="zh-CN" w:bidi="zh-CN"/>
      </w:rPr>
    </w:lvl>
    <w:lvl w:ilvl="5" w:tentative="0">
      <w:start w:val="0"/>
      <w:numFmt w:val="bullet"/>
      <w:lvlText w:val="•"/>
      <w:lvlJc w:val="left"/>
      <w:pPr>
        <w:ind w:left="5160" w:hanging="424"/>
      </w:pPr>
      <w:rPr>
        <w:rFonts w:hint="default"/>
        <w:lang w:val="zh-CN" w:eastAsia="zh-CN" w:bidi="zh-CN"/>
      </w:rPr>
    </w:lvl>
    <w:lvl w:ilvl="6" w:tentative="0">
      <w:start w:val="0"/>
      <w:numFmt w:val="bullet"/>
      <w:lvlText w:val="•"/>
      <w:lvlJc w:val="left"/>
      <w:pPr>
        <w:ind w:left="6185" w:hanging="424"/>
      </w:pPr>
      <w:rPr>
        <w:rFonts w:hint="default"/>
        <w:lang w:val="zh-CN" w:eastAsia="zh-CN" w:bidi="zh-CN"/>
      </w:rPr>
    </w:lvl>
    <w:lvl w:ilvl="7" w:tentative="0">
      <w:start w:val="0"/>
      <w:numFmt w:val="bullet"/>
      <w:lvlText w:val="•"/>
      <w:lvlJc w:val="left"/>
      <w:pPr>
        <w:ind w:left="7210" w:hanging="424"/>
      </w:pPr>
      <w:rPr>
        <w:rFonts w:hint="default"/>
        <w:lang w:val="zh-CN" w:eastAsia="zh-CN" w:bidi="zh-CN"/>
      </w:rPr>
    </w:lvl>
    <w:lvl w:ilvl="8" w:tentative="0">
      <w:start w:val="0"/>
      <w:numFmt w:val="bullet"/>
      <w:lvlText w:val="•"/>
      <w:lvlJc w:val="left"/>
      <w:pPr>
        <w:ind w:left="8236" w:hanging="424"/>
      </w:pPr>
      <w:rPr>
        <w:rFonts w:hint="default"/>
        <w:lang w:val="zh-CN" w:eastAsia="zh-CN" w:bidi="zh-CN"/>
      </w:rPr>
    </w:lvl>
  </w:abstractNum>
  <w:abstractNum w:abstractNumId="93">
    <w:nsid w:val="7DEC2089"/>
    <w:multiLevelType w:val="multilevel"/>
    <w:tmpl w:val="7DEC2089"/>
    <w:lvl w:ilvl="0" w:tentative="0">
      <w:start w:val="3"/>
      <w:numFmt w:val="decimal"/>
      <w:lvlText w:val="%1"/>
      <w:lvlJc w:val="left"/>
      <w:pPr>
        <w:ind w:left="998" w:hanging="318"/>
        <w:jc w:val="left"/>
      </w:pPr>
      <w:rPr>
        <w:rFonts w:hint="default"/>
        <w:lang w:val="zh-CN" w:eastAsia="zh-CN" w:bidi="zh-CN"/>
      </w:rPr>
    </w:lvl>
    <w:lvl w:ilvl="1" w:tentative="0">
      <w:start w:val="5"/>
      <w:numFmt w:val="decimal"/>
      <w:lvlText w:val="%1.%2"/>
      <w:lvlJc w:val="left"/>
      <w:pPr>
        <w:ind w:left="998"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260" w:hanging="529"/>
        <w:jc w:val="left"/>
      </w:pPr>
      <w:rPr>
        <w:rFonts w:hint="default" w:ascii="宋体" w:hAnsi="宋体" w:eastAsia="宋体" w:cs="宋体"/>
        <w:spacing w:val="-1"/>
        <w:w w:val="100"/>
        <w:sz w:val="19"/>
        <w:szCs w:val="19"/>
        <w:lang w:val="zh-CN" w:eastAsia="zh-CN" w:bidi="zh-CN"/>
      </w:rPr>
    </w:lvl>
    <w:lvl w:ilvl="3" w:tentative="0">
      <w:start w:val="0"/>
      <w:numFmt w:val="bullet"/>
      <w:lvlText w:val="•"/>
      <w:lvlJc w:val="left"/>
      <w:pPr>
        <w:ind w:left="2933" w:hanging="529"/>
      </w:pPr>
      <w:rPr>
        <w:rFonts w:hint="default"/>
        <w:lang w:val="zh-CN" w:eastAsia="zh-CN" w:bidi="zh-CN"/>
      </w:rPr>
    </w:lvl>
    <w:lvl w:ilvl="4" w:tentative="0">
      <w:start w:val="0"/>
      <w:numFmt w:val="bullet"/>
      <w:lvlText w:val="•"/>
      <w:lvlJc w:val="left"/>
      <w:pPr>
        <w:ind w:left="3899" w:hanging="529"/>
      </w:pPr>
      <w:rPr>
        <w:rFonts w:hint="default"/>
        <w:lang w:val="zh-CN" w:eastAsia="zh-CN" w:bidi="zh-CN"/>
      </w:rPr>
    </w:lvl>
    <w:lvl w:ilvl="5" w:tentative="0">
      <w:start w:val="0"/>
      <w:numFmt w:val="bullet"/>
      <w:lvlText w:val="•"/>
      <w:lvlJc w:val="left"/>
      <w:pPr>
        <w:ind w:left="4866" w:hanging="529"/>
      </w:pPr>
      <w:rPr>
        <w:rFonts w:hint="default"/>
        <w:lang w:val="zh-CN" w:eastAsia="zh-CN" w:bidi="zh-CN"/>
      </w:rPr>
    </w:lvl>
    <w:lvl w:ilvl="6" w:tentative="0">
      <w:start w:val="0"/>
      <w:numFmt w:val="bullet"/>
      <w:lvlText w:val="•"/>
      <w:lvlJc w:val="left"/>
      <w:pPr>
        <w:ind w:left="5832" w:hanging="529"/>
      </w:pPr>
      <w:rPr>
        <w:rFonts w:hint="default"/>
        <w:lang w:val="zh-CN" w:eastAsia="zh-CN" w:bidi="zh-CN"/>
      </w:rPr>
    </w:lvl>
    <w:lvl w:ilvl="7" w:tentative="0">
      <w:start w:val="0"/>
      <w:numFmt w:val="bullet"/>
      <w:lvlText w:val="•"/>
      <w:lvlJc w:val="left"/>
      <w:pPr>
        <w:ind w:left="6799" w:hanging="529"/>
      </w:pPr>
      <w:rPr>
        <w:rFonts w:hint="default"/>
        <w:lang w:val="zh-CN" w:eastAsia="zh-CN" w:bidi="zh-CN"/>
      </w:rPr>
    </w:lvl>
    <w:lvl w:ilvl="8" w:tentative="0">
      <w:start w:val="0"/>
      <w:numFmt w:val="bullet"/>
      <w:lvlText w:val="•"/>
      <w:lvlJc w:val="left"/>
      <w:pPr>
        <w:ind w:left="7766" w:hanging="529"/>
      </w:pPr>
      <w:rPr>
        <w:rFonts w:hint="default"/>
        <w:lang w:val="zh-CN" w:eastAsia="zh-CN" w:bidi="zh-CN"/>
      </w:rPr>
    </w:lvl>
  </w:abstractNum>
  <w:abstractNum w:abstractNumId="94">
    <w:nsid w:val="7E07367C"/>
    <w:multiLevelType w:val="multilevel"/>
    <w:tmpl w:val="7E07367C"/>
    <w:lvl w:ilvl="0" w:tentative="0">
      <w:start w:val="17"/>
      <w:numFmt w:val="decimal"/>
      <w:lvlText w:val="%1"/>
      <w:lvlJc w:val="left"/>
      <w:pPr>
        <w:ind w:left="1317" w:hanging="684"/>
      </w:pPr>
      <w:rPr>
        <w:rFonts w:hint="default"/>
        <w:lang w:val="zh-CN" w:eastAsia="zh-CN" w:bidi="zh-CN"/>
      </w:rPr>
    </w:lvl>
    <w:lvl w:ilvl="1" w:tentative="0">
      <w:start w:val="3"/>
      <w:numFmt w:val="decimal"/>
      <w:lvlText w:val="%1.%2"/>
      <w:lvlJc w:val="left"/>
      <w:pPr>
        <w:ind w:left="1317" w:hanging="684"/>
      </w:pPr>
      <w:rPr>
        <w:rFonts w:hint="default"/>
        <w:lang w:val="zh-CN" w:eastAsia="zh-CN" w:bidi="zh-CN"/>
      </w:rPr>
    </w:lvl>
    <w:lvl w:ilvl="2" w:tentative="0">
      <w:start w:val="3"/>
      <w:numFmt w:val="decimal"/>
      <w:lvlText w:val="%1.%2.%3"/>
      <w:lvlJc w:val="left"/>
      <w:pPr>
        <w:ind w:left="1317" w:hanging="684"/>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4009" w:hanging="684"/>
      </w:pPr>
      <w:rPr>
        <w:rFonts w:hint="default"/>
        <w:lang w:val="zh-CN" w:eastAsia="zh-CN" w:bidi="zh-CN"/>
      </w:rPr>
    </w:lvl>
    <w:lvl w:ilvl="4" w:tentative="0">
      <w:start w:val="0"/>
      <w:numFmt w:val="bullet"/>
      <w:lvlText w:val="•"/>
      <w:lvlJc w:val="left"/>
      <w:pPr>
        <w:ind w:left="4906" w:hanging="684"/>
      </w:pPr>
      <w:rPr>
        <w:rFonts w:hint="default"/>
        <w:lang w:val="zh-CN" w:eastAsia="zh-CN" w:bidi="zh-CN"/>
      </w:rPr>
    </w:lvl>
    <w:lvl w:ilvl="5" w:tentative="0">
      <w:start w:val="0"/>
      <w:numFmt w:val="bullet"/>
      <w:lvlText w:val="•"/>
      <w:lvlJc w:val="left"/>
      <w:pPr>
        <w:ind w:left="5803" w:hanging="684"/>
      </w:pPr>
      <w:rPr>
        <w:rFonts w:hint="default"/>
        <w:lang w:val="zh-CN" w:eastAsia="zh-CN" w:bidi="zh-CN"/>
      </w:rPr>
    </w:lvl>
    <w:lvl w:ilvl="6" w:tentative="0">
      <w:start w:val="0"/>
      <w:numFmt w:val="bullet"/>
      <w:lvlText w:val="•"/>
      <w:lvlJc w:val="left"/>
      <w:pPr>
        <w:ind w:left="6699" w:hanging="684"/>
      </w:pPr>
      <w:rPr>
        <w:rFonts w:hint="default"/>
        <w:lang w:val="zh-CN" w:eastAsia="zh-CN" w:bidi="zh-CN"/>
      </w:rPr>
    </w:lvl>
    <w:lvl w:ilvl="7" w:tentative="0">
      <w:start w:val="0"/>
      <w:numFmt w:val="bullet"/>
      <w:lvlText w:val="•"/>
      <w:lvlJc w:val="left"/>
      <w:pPr>
        <w:ind w:left="7596" w:hanging="684"/>
      </w:pPr>
      <w:rPr>
        <w:rFonts w:hint="default"/>
        <w:lang w:val="zh-CN" w:eastAsia="zh-CN" w:bidi="zh-CN"/>
      </w:rPr>
    </w:lvl>
    <w:lvl w:ilvl="8" w:tentative="0">
      <w:start w:val="0"/>
      <w:numFmt w:val="bullet"/>
      <w:lvlText w:val="•"/>
      <w:lvlJc w:val="left"/>
      <w:pPr>
        <w:ind w:left="8493" w:hanging="684"/>
      </w:pPr>
      <w:rPr>
        <w:rFonts w:hint="default"/>
        <w:lang w:val="zh-CN" w:eastAsia="zh-CN" w:bidi="zh-CN"/>
      </w:rPr>
    </w:lvl>
  </w:abstractNum>
  <w:num w:numId="1">
    <w:abstractNumId w:val="4"/>
  </w:num>
  <w:num w:numId="2">
    <w:abstractNumId w:val="70"/>
  </w:num>
  <w:num w:numId="3">
    <w:abstractNumId w:val="83"/>
  </w:num>
  <w:num w:numId="4">
    <w:abstractNumId w:val="7"/>
  </w:num>
  <w:num w:numId="5">
    <w:abstractNumId w:val="75"/>
  </w:num>
  <w:num w:numId="6">
    <w:abstractNumId w:val="59"/>
  </w:num>
  <w:num w:numId="7">
    <w:abstractNumId w:val="16"/>
  </w:num>
  <w:num w:numId="8">
    <w:abstractNumId w:val="40"/>
  </w:num>
  <w:num w:numId="9">
    <w:abstractNumId w:val="69"/>
  </w:num>
  <w:num w:numId="10">
    <w:abstractNumId w:val="62"/>
  </w:num>
  <w:num w:numId="11">
    <w:abstractNumId w:val="29"/>
  </w:num>
  <w:num w:numId="12">
    <w:abstractNumId w:val="89"/>
  </w:num>
  <w:num w:numId="13">
    <w:abstractNumId w:val="3"/>
  </w:num>
  <w:num w:numId="14">
    <w:abstractNumId w:val="73"/>
  </w:num>
  <w:num w:numId="15">
    <w:abstractNumId w:val="2"/>
  </w:num>
  <w:num w:numId="16">
    <w:abstractNumId w:val="44"/>
  </w:num>
  <w:num w:numId="17">
    <w:abstractNumId w:val="1"/>
  </w:num>
  <w:num w:numId="18">
    <w:abstractNumId w:val="63"/>
  </w:num>
  <w:num w:numId="19">
    <w:abstractNumId w:val="93"/>
  </w:num>
  <w:num w:numId="20">
    <w:abstractNumId w:val="0"/>
  </w:num>
  <w:num w:numId="21">
    <w:abstractNumId w:val="32"/>
  </w:num>
  <w:num w:numId="22">
    <w:abstractNumId w:val="48"/>
  </w:num>
  <w:num w:numId="23">
    <w:abstractNumId w:val="78"/>
  </w:num>
  <w:num w:numId="24">
    <w:abstractNumId w:val="85"/>
  </w:num>
  <w:num w:numId="25">
    <w:abstractNumId w:val="23"/>
  </w:num>
  <w:num w:numId="26">
    <w:abstractNumId w:val="60"/>
  </w:num>
  <w:num w:numId="27">
    <w:abstractNumId w:val="77"/>
  </w:num>
  <w:num w:numId="28">
    <w:abstractNumId w:val="57"/>
  </w:num>
  <w:num w:numId="29">
    <w:abstractNumId w:val="92"/>
  </w:num>
  <w:num w:numId="30">
    <w:abstractNumId w:val="21"/>
  </w:num>
  <w:num w:numId="31">
    <w:abstractNumId w:val="18"/>
  </w:num>
  <w:num w:numId="32">
    <w:abstractNumId w:val="49"/>
  </w:num>
  <w:num w:numId="33">
    <w:abstractNumId w:val="67"/>
  </w:num>
  <w:num w:numId="34">
    <w:abstractNumId w:val="90"/>
  </w:num>
  <w:num w:numId="35">
    <w:abstractNumId w:val="50"/>
  </w:num>
  <w:num w:numId="36">
    <w:abstractNumId w:val="88"/>
  </w:num>
  <w:num w:numId="37">
    <w:abstractNumId w:val="28"/>
  </w:num>
  <w:num w:numId="38">
    <w:abstractNumId w:val="71"/>
  </w:num>
  <w:num w:numId="39">
    <w:abstractNumId w:val="36"/>
  </w:num>
  <w:num w:numId="40">
    <w:abstractNumId w:val="66"/>
  </w:num>
  <w:num w:numId="41">
    <w:abstractNumId w:val="61"/>
  </w:num>
  <w:num w:numId="42">
    <w:abstractNumId w:val="51"/>
  </w:num>
  <w:num w:numId="43">
    <w:abstractNumId w:val="80"/>
  </w:num>
  <w:num w:numId="44">
    <w:abstractNumId w:val="84"/>
  </w:num>
  <w:num w:numId="45">
    <w:abstractNumId w:val="81"/>
  </w:num>
  <w:num w:numId="46">
    <w:abstractNumId w:val="37"/>
  </w:num>
  <w:num w:numId="47">
    <w:abstractNumId w:val="45"/>
  </w:num>
  <w:num w:numId="48">
    <w:abstractNumId w:val="27"/>
  </w:num>
  <w:num w:numId="49">
    <w:abstractNumId w:val="39"/>
  </w:num>
  <w:num w:numId="50">
    <w:abstractNumId w:val="9"/>
  </w:num>
  <w:num w:numId="51">
    <w:abstractNumId w:val="17"/>
  </w:num>
  <w:num w:numId="52">
    <w:abstractNumId w:val="22"/>
  </w:num>
  <w:num w:numId="53">
    <w:abstractNumId w:val="8"/>
  </w:num>
  <w:num w:numId="54">
    <w:abstractNumId w:val="86"/>
  </w:num>
  <w:num w:numId="55">
    <w:abstractNumId w:val="56"/>
  </w:num>
  <w:num w:numId="56">
    <w:abstractNumId w:val="25"/>
  </w:num>
  <w:num w:numId="57">
    <w:abstractNumId w:val="5"/>
  </w:num>
  <w:num w:numId="58">
    <w:abstractNumId w:val="72"/>
  </w:num>
  <w:num w:numId="59">
    <w:abstractNumId w:val="87"/>
  </w:num>
  <w:num w:numId="60">
    <w:abstractNumId w:val="58"/>
  </w:num>
  <w:num w:numId="61">
    <w:abstractNumId w:val="35"/>
  </w:num>
  <w:num w:numId="62">
    <w:abstractNumId w:val="30"/>
  </w:num>
  <w:num w:numId="63">
    <w:abstractNumId w:val="31"/>
  </w:num>
  <w:num w:numId="64">
    <w:abstractNumId w:val="47"/>
  </w:num>
  <w:num w:numId="65">
    <w:abstractNumId w:val="24"/>
  </w:num>
  <w:num w:numId="66">
    <w:abstractNumId w:val="41"/>
  </w:num>
  <w:num w:numId="67">
    <w:abstractNumId w:val="74"/>
  </w:num>
  <w:num w:numId="68">
    <w:abstractNumId w:val="19"/>
  </w:num>
  <w:num w:numId="69">
    <w:abstractNumId w:val="11"/>
  </w:num>
  <w:num w:numId="70">
    <w:abstractNumId w:val="79"/>
  </w:num>
  <w:num w:numId="71">
    <w:abstractNumId w:val="65"/>
  </w:num>
  <w:num w:numId="72">
    <w:abstractNumId w:val="6"/>
  </w:num>
  <w:num w:numId="73">
    <w:abstractNumId w:val="54"/>
  </w:num>
  <w:num w:numId="74">
    <w:abstractNumId w:val="20"/>
  </w:num>
  <w:num w:numId="75">
    <w:abstractNumId w:val="82"/>
  </w:num>
  <w:num w:numId="76">
    <w:abstractNumId w:val="14"/>
  </w:num>
  <w:num w:numId="77">
    <w:abstractNumId w:val="26"/>
  </w:num>
  <w:num w:numId="78">
    <w:abstractNumId w:val="42"/>
  </w:num>
  <w:num w:numId="79">
    <w:abstractNumId w:val="46"/>
  </w:num>
  <w:num w:numId="80">
    <w:abstractNumId w:val="10"/>
  </w:num>
  <w:num w:numId="81">
    <w:abstractNumId w:val="15"/>
  </w:num>
  <w:num w:numId="82">
    <w:abstractNumId w:val="68"/>
  </w:num>
  <w:num w:numId="83">
    <w:abstractNumId w:val="94"/>
  </w:num>
  <w:num w:numId="84">
    <w:abstractNumId w:val="38"/>
  </w:num>
  <w:num w:numId="85">
    <w:abstractNumId w:val="43"/>
  </w:num>
  <w:num w:numId="86">
    <w:abstractNumId w:val="55"/>
  </w:num>
  <w:num w:numId="87">
    <w:abstractNumId w:val="64"/>
  </w:num>
  <w:num w:numId="88">
    <w:abstractNumId w:val="52"/>
  </w:num>
  <w:num w:numId="89">
    <w:abstractNumId w:val="76"/>
  </w:num>
  <w:num w:numId="90">
    <w:abstractNumId w:val="13"/>
  </w:num>
  <w:num w:numId="91">
    <w:abstractNumId w:val="12"/>
  </w:num>
  <w:num w:numId="92">
    <w:abstractNumId w:val="33"/>
  </w:num>
  <w:num w:numId="93">
    <w:abstractNumId w:val="53"/>
  </w:num>
  <w:num w:numId="94">
    <w:abstractNumId w:val="34"/>
  </w:num>
  <w:num w:numId="95">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A69"/>
    <w:rsid w:val="000A700D"/>
    <w:rsid w:val="000C78E0"/>
    <w:rsid w:val="000F740D"/>
    <w:rsid w:val="00172B17"/>
    <w:rsid w:val="001A64D4"/>
    <w:rsid w:val="001B3ED4"/>
    <w:rsid w:val="00216DAF"/>
    <w:rsid w:val="00257268"/>
    <w:rsid w:val="0048756F"/>
    <w:rsid w:val="00491C13"/>
    <w:rsid w:val="0067233C"/>
    <w:rsid w:val="00686D02"/>
    <w:rsid w:val="006E1F02"/>
    <w:rsid w:val="007207B3"/>
    <w:rsid w:val="008C732E"/>
    <w:rsid w:val="009301D8"/>
    <w:rsid w:val="00A1505B"/>
    <w:rsid w:val="00AE245E"/>
    <w:rsid w:val="00B06C74"/>
    <w:rsid w:val="00C05A86"/>
    <w:rsid w:val="00C62889"/>
    <w:rsid w:val="00CE7A1C"/>
    <w:rsid w:val="00E66D8D"/>
    <w:rsid w:val="01C9485A"/>
    <w:rsid w:val="03864AF5"/>
    <w:rsid w:val="03D0250B"/>
    <w:rsid w:val="064B3E9D"/>
    <w:rsid w:val="06972384"/>
    <w:rsid w:val="071855AF"/>
    <w:rsid w:val="07A1355F"/>
    <w:rsid w:val="07EB037F"/>
    <w:rsid w:val="0AA85639"/>
    <w:rsid w:val="0C85253C"/>
    <w:rsid w:val="10173008"/>
    <w:rsid w:val="10992562"/>
    <w:rsid w:val="115C3A0D"/>
    <w:rsid w:val="159069B9"/>
    <w:rsid w:val="17544B09"/>
    <w:rsid w:val="18FC6FFF"/>
    <w:rsid w:val="19690BDE"/>
    <w:rsid w:val="1C167347"/>
    <w:rsid w:val="21BD74EF"/>
    <w:rsid w:val="241E151F"/>
    <w:rsid w:val="255C4DC6"/>
    <w:rsid w:val="25C8034D"/>
    <w:rsid w:val="260316C8"/>
    <w:rsid w:val="26BB3837"/>
    <w:rsid w:val="28300517"/>
    <w:rsid w:val="2BED65E5"/>
    <w:rsid w:val="2CEE7C30"/>
    <w:rsid w:val="308C3D46"/>
    <w:rsid w:val="31B92E04"/>
    <w:rsid w:val="32BB764B"/>
    <w:rsid w:val="33B50A02"/>
    <w:rsid w:val="3454609C"/>
    <w:rsid w:val="35C35CF6"/>
    <w:rsid w:val="35D06702"/>
    <w:rsid w:val="3F4D0D05"/>
    <w:rsid w:val="426D0FA8"/>
    <w:rsid w:val="43E05719"/>
    <w:rsid w:val="4A7B11CF"/>
    <w:rsid w:val="4C9900DB"/>
    <w:rsid w:val="4DE45839"/>
    <w:rsid w:val="4EA90308"/>
    <w:rsid w:val="516C5CE9"/>
    <w:rsid w:val="565D3B7B"/>
    <w:rsid w:val="56CA3780"/>
    <w:rsid w:val="56DE4511"/>
    <w:rsid w:val="5B870BB2"/>
    <w:rsid w:val="5D5C14F3"/>
    <w:rsid w:val="5D6E3CEA"/>
    <w:rsid w:val="5E631D09"/>
    <w:rsid w:val="5E9E457E"/>
    <w:rsid w:val="5EB920F6"/>
    <w:rsid w:val="5FC03D00"/>
    <w:rsid w:val="62CF5DDF"/>
    <w:rsid w:val="649F4C15"/>
    <w:rsid w:val="64E15D53"/>
    <w:rsid w:val="668951D1"/>
    <w:rsid w:val="678A3725"/>
    <w:rsid w:val="69EC1828"/>
    <w:rsid w:val="6F7C0536"/>
    <w:rsid w:val="70BD41BD"/>
    <w:rsid w:val="71AB623C"/>
    <w:rsid w:val="71EA1D8F"/>
    <w:rsid w:val="75A100D0"/>
    <w:rsid w:val="75FA2A63"/>
    <w:rsid w:val="77307CC5"/>
    <w:rsid w:val="77374889"/>
    <w:rsid w:val="7A2C3299"/>
    <w:rsid w:val="7BBC678E"/>
    <w:rsid w:val="7C30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nhideWhenUsed="0" w:uiPriority="1" w:semiHidden="0" w:name="heading 3"/>
    <w:lsdException w:qFormat="1" w:uiPriority="9"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99"/>
    <w:pPr>
      <w:keepNext/>
      <w:keepLines/>
      <w:spacing w:before="260" w:after="260" w:line="240" w:lineRule="auto"/>
      <w:outlineLvl w:val="1"/>
    </w:pPr>
    <w:rPr>
      <w:rFonts w:ascii="Cambria" w:hAnsi="Cambria"/>
      <w:b/>
      <w:bCs/>
      <w:sz w:val="24"/>
      <w:szCs w:val="32"/>
    </w:rPr>
  </w:style>
  <w:style w:type="paragraph" w:styleId="3">
    <w:name w:val="heading 5"/>
    <w:basedOn w:val="1"/>
    <w:next w:val="1"/>
    <w:qFormat/>
    <w:uiPriority w:val="1"/>
    <w:pPr>
      <w:spacing w:before="215"/>
      <w:outlineLvl w:val="4"/>
    </w:pPr>
    <w:rPr>
      <w:b/>
      <w:bCs/>
      <w:sz w:val="28"/>
      <w:szCs w:val="28"/>
    </w:rPr>
  </w:style>
  <w:style w:type="paragraph" w:styleId="4">
    <w:name w:val="heading 7"/>
    <w:basedOn w:val="1"/>
    <w:next w:val="1"/>
    <w:qFormat/>
    <w:uiPriority w:val="1"/>
    <w:pPr>
      <w:ind w:left="612"/>
      <w:outlineLvl w:val="6"/>
    </w:pPr>
    <w:rPr>
      <w:b/>
      <w:bCs/>
      <w:sz w:val="24"/>
      <w:szCs w:val="24"/>
    </w:rPr>
  </w:style>
  <w:style w:type="paragraph" w:styleId="5">
    <w:name w:val="heading 8"/>
    <w:basedOn w:val="1"/>
    <w:next w:val="1"/>
    <w:qFormat/>
    <w:uiPriority w:val="1"/>
    <w:pPr>
      <w:spacing w:before="67"/>
      <w:ind w:left="100"/>
      <w:outlineLvl w:val="7"/>
    </w:pPr>
    <w:rPr>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6"/>
    <w:semiHidden/>
    <w:unhideWhenUsed/>
    <w:qFormat/>
    <w:uiPriority w:val="99"/>
    <w:rPr>
      <w:sz w:val="18"/>
      <w:szCs w:val="18"/>
    </w:rPr>
  </w:style>
  <w:style w:type="paragraph" w:styleId="7">
    <w:name w:val="annotation text"/>
    <w:basedOn w:val="1"/>
    <w:link w:val="51"/>
    <w:unhideWhenUsed/>
    <w:qFormat/>
    <w:uiPriority w:val="99"/>
  </w:style>
  <w:style w:type="paragraph" w:styleId="8">
    <w:name w:val="Body Text"/>
    <w:basedOn w:val="1"/>
    <w:link w:val="48"/>
    <w:qFormat/>
    <w:uiPriority w:val="1"/>
    <w:rPr>
      <w:sz w:val="21"/>
      <w:szCs w:val="21"/>
    </w:rPr>
  </w:style>
  <w:style w:type="paragraph" w:styleId="9">
    <w:name w:val="Body Text Indent"/>
    <w:basedOn w:val="1"/>
    <w:link w:val="50"/>
    <w:semiHidden/>
    <w:unhideWhenUsed/>
    <w:qFormat/>
    <w:uiPriority w:val="99"/>
    <w:pPr>
      <w:spacing w:after="120"/>
      <w:ind w:left="420" w:leftChars="200"/>
    </w:pPr>
  </w:style>
  <w:style w:type="paragraph" w:styleId="10">
    <w:name w:val="Balloon Text"/>
    <w:basedOn w:val="1"/>
    <w:link w:val="53"/>
    <w:semiHidden/>
    <w:unhideWhenUsed/>
    <w:qFormat/>
    <w:uiPriority w:val="99"/>
    <w:rPr>
      <w:sz w:val="18"/>
      <w:szCs w:val="18"/>
    </w:rPr>
  </w:style>
  <w:style w:type="paragraph" w:styleId="11">
    <w:name w:val="footer"/>
    <w:basedOn w:val="1"/>
    <w:semiHidden/>
    <w:unhideWhenUsed/>
    <w:qFormat/>
    <w:uiPriority w:val="99"/>
    <w:pPr>
      <w:tabs>
        <w:tab w:val="center" w:pos="4153"/>
        <w:tab w:val="right" w:pos="8306"/>
      </w:tabs>
      <w:snapToGrid w:val="0"/>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99"/>
    <w:pPr>
      <w:widowControl/>
      <w:autoSpaceDE/>
      <w:autoSpaceDN/>
      <w:spacing w:before="100" w:beforeAutospacing="1" w:after="100" w:afterAutospacing="1"/>
    </w:pPr>
    <w:rPr>
      <w:rFonts w:ascii="Times New Roman" w:hAnsi="Times New Roman" w:cs="Times New Roman"/>
      <w:sz w:val="21"/>
      <w:szCs w:val="24"/>
      <w:lang w:val="en-US" w:bidi="ar-SA"/>
    </w:rPr>
  </w:style>
  <w:style w:type="paragraph" w:styleId="14">
    <w:name w:val="annotation subject"/>
    <w:basedOn w:val="7"/>
    <w:next w:val="7"/>
    <w:link w:val="52"/>
    <w:semiHidden/>
    <w:unhideWhenUsed/>
    <w:qFormat/>
    <w:uiPriority w:val="99"/>
    <w:rPr>
      <w:b/>
      <w:bCs/>
    </w:rPr>
  </w:style>
  <w:style w:type="paragraph" w:styleId="15">
    <w:name w:val="Body Text First Indent"/>
    <w:basedOn w:val="8"/>
    <w:link w:val="49"/>
    <w:unhideWhenUsed/>
    <w:qFormat/>
    <w:uiPriority w:val="0"/>
    <w:pPr>
      <w:autoSpaceDE/>
      <w:autoSpaceDN/>
      <w:spacing w:after="120"/>
      <w:ind w:firstLine="420" w:firstLineChars="100"/>
      <w:jc w:val="both"/>
    </w:pPr>
    <w:rPr>
      <w:rFonts w:ascii="Times New Roman" w:hAnsi="Times New Roman" w:cs="Times New Roman" w:eastAsiaTheme="minorEastAsia"/>
      <w:kern w:val="2"/>
      <w:szCs w:val="24"/>
      <w:lang w:val="en-US" w:eastAsia="en-US" w:bidi="ar-SA"/>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semiHidden/>
    <w:unhideWhenUsed/>
    <w:qFormat/>
    <w:uiPriority w:val="99"/>
    <w:rPr>
      <w:color w:val="2F2F2F"/>
      <w:u w:val="none"/>
    </w:rPr>
  </w:style>
  <w:style w:type="character" w:styleId="21">
    <w:name w:val="Emphasis"/>
    <w:basedOn w:val="18"/>
    <w:qFormat/>
    <w:uiPriority w:val="20"/>
  </w:style>
  <w:style w:type="character" w:styleId="22">
    <w:name w:val="HTML Definition"/>
    <w:basedOn w:val="18"/>
    <w:semiHidden/>
    <w:unhideWhenUsed/>
    <w:qFormat/>
    <w:uiPriority w:val="99"/>
  </w:style>
  <w:style w:type="character" w:styleId="23">
    <w:name w:val="HTML Typewriter"/>
    <w:basedOn w:val="18"/>
    <w:semiHidden/>
    <w:unhideWhenUsed/>
    <w:qFormat/>
    <w:uiPriority w:val="99"/>
    <w:rPr>
      <w:rFonts w:hint="default" w:ascii="monospace" w:hAnsi="monospace" w:eastAsia="monospace" w:cs="monospace"/>
      <w:sz w:val="20"/>
    </w:rPr>
  </w:style>
  <w:style w:type="character" w:styleId="24">
    <w:name w:val="HTML Acronym"/>
    <w:basedOn w:val="18"/>
    <w:semiHidden/>
    <w:unhideWhenUsed/>
    <w:qFormat/>
    <w:uiPriority w:val="99"/>
  </w:style>
  <w:style w:type="character" w:styleId="25">
    <w:name w:val="HTML Variable"/>
    <w:basedOn w:val="18"/>
    <w:semiHidden/>
    <w:unhideWhenUsed/>
    <w:qFormat/>
    <w:uiPriority w:val="99"/>
  </w:style>
  <w:style w:type="character" w:styleId="26">
    <w:name w:val="Hyperlink"/>
    <w:basedOn w:val="18"/>
    <w:unhideWhenUsed/>
    <w:qFormat/>
    <w:uiPriority w:val="99"/>
    <w:rPr>
      <w:color w:val="0000FF" w:themeColor="hyperlink"/>
      <w:u w:val="single"/>
      <w14:textFill>
        <w14:solidFill>
          <w14:schemeClr w14:val="hlink"/>
        </w14:solidFill>
      </w14:textFill>
    </w:rPr>
  </w:style>
  <w:style w:type="character" w:styleId="27">
    <w:name w:val="HTML Code"/>
    <w:basedOn w:val="18"/>
    <w:semiHidden/>
    <w:unhideWhenUsed/>
    <w:qFormat/>
    <w:uiPriority w:val="99"/>
    <w:rPr>
      <w:rFonts w:hint="default" w:ascii="monospace" w:hAnsi="monospace" w:eastAsia="monospace" w:cs="monospace"/>
      <w:sz w:val="20"/>
    </w:rPr>
  </w:style>
  <w:style w:type="character" w:styleId="28">
    <w:name w:val="annotation reference"/>
    <w:basedOn w:val="18"/>
    <w:semiHidden/>
    <w:unhideWhenUsed/>
    <w:qFormat/>
    <w:uiPriority w:val="99"/>
    <w:rPr>
      <w:sz w:val="21"/>
      <w:szCs w:val="21"/>
    </w:rPr>
  </w:style>
  <w:style w:type="character" w:styleId="29">
    <w:name w:val="HTML Cite"/>
    <w:basedOn w:val="18"/>
    <w:semiHidden/>
    <w:unhideWhenUsed/>
    <w:qFormat/>
    <w:uiPriority w:val="99"/>
  </w:style>
  <w:style w:type="character" w:styleId="30">
    <w:name w:val="HTML Keyboard"/>
    <w:basedOn w:val="18"/>
    <w:semiHidden/>
    <w:unhideWhenUsed/>
    <w:qFormat/>
    <w:uiPriority w:val="99"/>
    <w:rPr>
      <w:rFonts w:hint="default" w:ascii="monospace" w:hAnsi="monospace" w:eastAsia="monospace" w:cs="monospace"/>
      <w:sz w:val="20"/>
    </w:rPr>
  </w:style>
  <w:style w:type="character" w:styleId="31">
    <w:name w:val="HTML Sample"/>
    <w:basedOn w:val="18"/>
    <w:semiHidden/>
    <w:unhideWhenUsed/>
    <w:qFormat/>
    <w:uiPriority w:val="99"/>
    <w:rPr>
      <w:rFonts w:ascii="monospace" w:hAnsi="monospace" w:eastAsia="monospace" w:cs="monospace"/>
    </w:rPr>
  </w:style>
  <w:style w:type="paragraph" w:customStyle="1" w:styleId="32">
    <w:name w:val="列出段落1"/>
    <w:basedOn w:val="1"/>
    <w:qFormat/>
    <w:uiPriority w:val="99"/>
    <w:pPr>
      <w:ind w:firstLine="420" w:firstLineChars="200"/>
    </w:pPr>
    <w:rPr>
      <w:rFonts w:ascii="Calibri" w:hAnsi="Calibri" w:cs="宋体"/>
      <w:szCs w:val="21"/>
    </w:rPr>
  </w:style>
  <w:style w:type="paragraph" w:customStyle="1" w:styleId="33">
    <w:name w:val="520"/>
    <w:qFormat/>
    <w:uiPriority w:val="0"/>
    <w:pPr>
      <w:spacing w:line="360" w:lineRule="auto"/>
    </w:pPr>
    <w:rPr>
      <w:rFonts w:ascii="宋体" w:hAnsi="宋体" w:eastAsia="Times New Roman" w:cs="Times New Roman"/>
      <w:b/>
      <w:kern w:val="2"/>
      <w:sz w:val="30"/>
      <w:szCs w:val="30"/>
      <w:lang w:val="en-US" w:eastAsia="zh-CN" w:bidi="ar-SA"/>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标题 11"/>
    <w:basedOn w:val="1"/>
    <w:qFormat/>
    <w:uiPriority w:val="1"/>
    <w:pPr>
      <w:ind w:left="165" w:right="223"/>
      <w:jc w:val="center"/>
      <w:outlineLvl w:val="1"/>
    </w:pPr>
    <w:rPr>
      <w:sz w:val="84"/>
      <w:szCs w:val="84"/>
    </w:rPr>
  </w:style>
  <w:style w:type="paragraph" w:customStyle="1" w:styleId="36">
    <w:name w:val="标题 21"/>
    <w:basedOn w:val="1"/>
    <w:qFormat/>
    <w:uiPriority w:val="1"/>
    <w:pPr>
      <w:spacing w:before="32"/>
      <w:ind w:right="883"/>
      <w:jc w:val="center"/>
      <w:outlineLvl w:val="2"/>
    </w:pPr>
    <w:rPr>
      <w:b/>
      <w:bCs/>
      <w:sz w:val="48"/>
      <w:szCs w:val="48"/>
    </w:rPr>
  </w:style>
  <w:style w:type="paragraph" w:customStyle="1" w:styleId="37">
    <w:name w:val="标题 31"/>
    <w:basedOn w:val="1"/>
    <w:qFormat/>
    <w:uiPriority w:val="1"/>
    <w:pPr>
      <w:ind w:left="827"/>
      <w:outlineLvl w:val="3"/>
    </w:pPr>
    <w:rPr>
      <w:b/>
      <w:bCs/>
      <w:sz w:val="32"/>
      <w:szCs w:val="32"/>
    </w:rPr>
  </w:style>
  <w:style w:type="paragraph" w:customStyle="1" w:styleId="38">
    <w:name w:val="标题 41"/>
    <w:basedOn w:val="1"/>
    <w:qFormat/>
    <w:uiPriority w:val="1"/>
    <w:pPr>
      <w:spacing w:before="54"/>
      <w:jc w:val="center"/>
      <w:outlineLvl w:val="4"/>
    </w:pPr>
    <w:rPr>
      <w:sz w:val="32"/>
      <w:szCs w:val="32"/>
      <w:u w:val="single" w:color="000000"/>
    </w:rPr>
  </w:style>
  <w:style w:type="paragraph" w:customStyle="1" w:styleId="39">
    <w:name w:val="标题 51"/>
    <w:basedOn w:val="1"/>
    <w:qFormat/>
    <w:uiPriority w:val="1"/>
    <w:pPr>
      <w:spacing w:before="4"/>
      <w:ind w:left="282"/>
      <w:outlineLvl w:val="5"/>
    </w:pPr>
    <w:rPr>
      <w:rFonts w:ascii="黑体" w:hAnsi="黑体" w:eastAsia="黑体" w:cs="黑体"/>
      <w:sz w:val="30"/>
      <w:szCs w:val="30"/>
    </w:rPr>
  </w:style>
  <w:style w:type="paragraph" w:customStyle="1" w:styleId="40">
    <w:name w:val="标题 61"/>
    <w:basedOn w:val="1"/>
    <w:qFormat/>
    <w:uiPriority w:val="1"/>
    <w:pPr>
      <w:ind w:left="451"/>
      <w:jc w:val="center"/>
      <w:outlineLvl w:val="6"/>
    </w:pPr>
    <w:rPr>
      <w:rFonts w:ascii="黑体" w:hAnsi="黑体" w:eastAsia="黑体" w:cs="黑体"/>
      <w:sz w:val="28"/>
      <w:szCs w:val="28"/>
    </w:rPr>
  </w:style>
  <w:style w:type="paragraph" w:customStyle="1" w:styleId="41">
    <w:name w:val="标题 71"/>
    <w:basedOn w:val="1"/>
    <w:qFormat/>
    <w:uiPriority w:val="1"/>
    <w:pPr>
      <w:ind w:left="753" w:hanging="542"/>
      <w:outlineLvl w:val="7"/>
    </w:pPr>
    <w:rPr>
      <w:b/>
      <w:bCs/>
      <w:sz w:val="24"/>
      <w:szCs w:val="24"/>
    </w:rPr>
  </w:style>
  <w:style w:type="paragraph" w:customStyle="1" w:styleId="42">
    <w:name w:val="标题 81"/>
    <w:basedOn w:val="1"/>
    <w:qFormat/>
    <w:uiPriority w:val="1"/>
    <w:pPr>
      <w:ind w:left="658" w:hanging="421"/>
      <w:outlineLvl w:val="8"/>
    </w:pPr>
    <w:rPr>
      <w:rFonts w:ascii="黑体" w:hAnsi="黑体" w:eastAsia="黑体" w:cs="黑体"/>
      <w:sz w:val="24"/>
      <w:szCs w:val="24"/>
    </w:rPr>
  </w:style>
  <w:style w:type="paragraph" w:customStyle="1" w:styleId="43">
    <w:name w:val="标题 91"/>
    <w:basedOn w:val="1"/>
    <w:qFormat/>
    <w:uiPriority w:val="1"/>
    <w:pPr>
      <w:ind w:left="661"/>
    </w:pPr>
    <w:rPr>
      <w:b/>
      <w:bCs/>
      <w:sz w:val="21"/>
      <w:szCs w:val="21"/>
    </w:rPr>
  </w:style>
  <w:style w:type="paragraph" w:styleId="44">
    <w:name w:val="List Paragraph"/>
    <w:basedOn w:val="1"/>
    <w:qFormat/>
    <w:uiPriority w:val="1"/>
    <w:pPr>
      <w:ind w:left="212" w:firstLine="420"/>
    </w:pPr>
  </w:style>
  <w:style w:type="paragraph" w:customStyle="1" w:styleId="45">
    <w:name w:val="Table Paragraph"/>
    <w:basedOn w:val="1"/>
    <w:qFormat/>
    <w:uiPriority w:val="1"/>
  </w:style>
  <w:style w:type="character" w:customStyle="1" w:styleId="46">
    <w:name w:val="文档结构图 字符"/>
    <w:basedOn w:val="18"/>
    <w:link w:val="6"/>
    <w:semiHidden/>
    <w:qFormat/>
    <w:uiPriority w:val="99"/>
    <w:rPr>
      <w:rFonts w:ascii="宋体" w:hAnsi="宋体" w:eastAsia="宋体" w:cs="宋体"/>
      <w:sz w:val="18"/>
      <w:szCs w:val="18"/>
      <w:lang w:val="zh-CN" w:eastAsia="zh-CN" w:bidi="zh-CN"/>
    </w:rPr>
  </w:style>
  <w:style w:type="character" w:customStyle="1" w:styleId="47">
    <w:name w:val="正文首行缩进 Char"/>
    <w:basedOn w:val="48"/>
    <w:qFormat/>
    <w:uiPriority w:val="0"/>
    <w:rPr>
      <w:rFonts w:ascii="Times New Roman" w:hAnsi="Times New Roman" w:eastAsia="宋体" w:cs="Times New Roman"/>
      <w:kern w:val="2"/>
      <w:sz w:val="21"/>
      <w:szCs w:val="24"/>
      <w:lang w:val="zh-CN" w:eastAsia="zh-CN" w:bidi="zh-CN"/>
    </w:rPr>
  </w:style>
  <w:style w:type="character" w:customStyle="1" w:styleId="48">
    <w:name w:val="正文文本 字符"/>
    <w:basedOn w:val="18"/>
    <w:link w:val="8"/>
    <w:qFormat/>
    <w:uiPriority w:val="1"/>
    <w:rPr>
      <w:rFonts w:ascii="宋体" w:hAnsi="宋体" w:eastAsia="宋体" w:cs="宋体"/>
      <w:sz w:val="21"/>
      <w:szCs w:val="21"/>
      <w:lang w:val="zh-CN" w:eastAsia="zh-CN" w:bidi="zh-CN"/>
    </w:rPr>
  </w:style>
  <w:style w:type="character" w:customStyle="1" w:styleId="49">
    <w:name w:val="正文文本首行缩进 字符"/>
    <w:basedOn w:val="48"/>
    <w:link w:val="15"/>
    <w:qFormat/>
    <w:uiPriority w:val="0"/>
    <w:rPr>
      <w:rFonts w:ascii="宋体" w:hAnsi="宋体" w:eastAsia="宋体" w:cs="宋体"/>
      <w:sz w:val="21"/>
      <w:szCs w:val="21"/>
      <w:lang w:val="zh-CN" w:eastAsia="zh-CN" w:bidi="zh-CN"/>
    </w:rPr>
  </w:style>
  <w:style w:type="character" w:customStyle="1" w:styleId="50">
    <w:name w:val="正文文本缩进 字符"/>
    <w:basedOn w:val="18"/>
    <w:link w:val="9"/>
    <w:semiHidden/>
    <w:qFormat/>
    <w:uiPriority w:val="99"/>
    <w:rPr>
      <w:rFonts w:ascii="宋体" w:hAnsi="宋体" w:eastAsia="宋体" w:cs="宋体"/>
      <w:lang w:val="zh-CN" w:eastAsia="zh-CN" w:bidi="zh-CN"/>
    </w:rPr>
  </w:style>
  <w:style w:type="character" w:customStyle="1" w:styleId="51">
    <w:name w:val="批注文字 字符"/>
    <w:basedOn w:val="18"/>
    <w:link w:val="7"/>
    <w:qFormat/>
    <w:uiPriority w:val="99"/>
    <w:rPr>
      <w:rFonts w:ascii="宋体" w:hAnsi="宋体" w:cs="宋体"/>
      <w:sz w:val="22"/>
      <w:szCs w:val="22"/>
      <w:lang w:val="zh-CN" w:bidi="zh-CN"/>
    </w:rPr>
  </w:style>
  <w:style w:type="character" w:customStyle="1" w:styleId="52">
    <w:name w:val="批注主题 字符"/>
    <w:basedOn w:val="51"/>
    <w:link w:val="14"/>
    <w:semiHidden/>
    <w:qFormat/>
    <w:uiPriority w:val="99"/>
    <w:rPr>
      <w:rFonts w:ascii="宋体" w:hAnsi="宋体" w:cs="宋体"/>
      <w:b/>
      <w:bCs/>
      <w:sz w:val="22"/>
      <w:szCs w:val="22"/>
      <w:lang w:val="zh-CN" w:bidi="zh-CN"/>
    </w:rPr>
  </w:style>
  <w:style w:type="character" w:customStyle="1" w:styleId="53">
    <w:name w:val="批注框文本 字符"/>
    <w:basedOn w:val="18"/>
    <w:link w:val="10"/>
    <w:semiHidden/>
    <w:qFormat/>
    <w:uiPriority w:val="99"/>
    <w:rPr>
      <w:rFonts w:ascii="宋体" w:hAnsi="宋体" w:cs="宋体"/>
      <w:sz w:val="18"/>
      <w:szCs w:val="18"/>
      <w:lang w:val="zh-CN" w:bidi="zh-CN"/>
    </w:rPr>
  </w:style>
  <w:style w:type="paragraph" w:customStyle="1" w:styleId="54">
    <w:name w:val="Revision"/>
    <w:hidden/>
    <w:semiHidden/>
    <w:qFormat/>
    <w:uiPriority w:val="99"/>
    <w:rPr>
      <w:rFonts w:ascii="宋体" w:hAnsi="宋体" w:eastAsia="宋体" w:cs="宋体"/>
      <w:sz w:val="22"/>
      <w:szCs w:val="22"/>
      <w:lang w:val="zh-CN" w:eastAsia="zh-CN" w:bidi="zh-CN"/>
    </w:rPr>
  </w:style>
  <w:style w:type="paragraph" w:customStyle="1" w:styleId="55">
    <w:name w:val="Heading 7"/>
    <w:basedOn w:val="1"/>
    <w:qFormat/>
    <w:uiPriority w:val="1"/>
    <w:pPr>
      <w:ind w:left="753" w:hanging="542"/>
      <w:outlineLvl w:val="7"/>
    </w:pPr>
    <w:rPr>
      <w:b/>
      <w:bCs/>
      <w:sz w:val="24"/>
      <w:szCs w:val="24"/>
    </w:rPr>
  </w:style>
  <w:style w:type="paragraph" w:customStyle="1" w:styleId="56">
    <w:name w:val="Heading 9"/>
    <w:basedOn w:val="1"/>
    <w:qFormat/>
    <w:uiPriority w:val="1"/>
    <w:pPr>
      <w:ind w:left="661"/>
    </w:pPr>
    <w:rPr>
      <w:b/>
      <w:bCs/>
      <w:sz w:val="21"/>
      <w:szCs w:val="21"/>
    </w:rPr>
  </w:style>
  <w:style w:type="character" w:customStyle="1" w:styleId="57">
    <w:name w:val="wx-space"/>
    <w:basedOn w:val="18"/>
    <w:qFormat/>
    <w:uiPriority w:val="0"/>
  </w:style>
  <w:style w:type="character" w:customStyle="1" w:styleId="58">
    <w:name w:val="wx-space1"/>
    <w:basedOn w:val="18"/>
    <w:qFormat/>
    <w:uiPriority w:val="0"/>
  </w:style>
  <w:style w:type="character" w:customStyle="1" w:styleId="59">
    <w:name w:val="hover5"/>
    <w:basedOn w:val="18"/>
    <w:qFormat/>
    <w:uiPriority w:val="0"/>
    <w:rPr>
      <w:color w:val="000000"/>
      <w:shd w:val="clear" w:fill="FFFFFF"/>
    </w:rPr>
  </w:style>
  <w:style w:type="character" w:customStyle="1" w:styleId="60">
    <w:name w:val="hover6"/>
    <w:basedOn w:val="18"/>
    <w:qFormat/>
    <w:uiPriority w:val="0"/>
    <w:rPr>
      <w:color w:val="00000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er" Target="foot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D2E81-C540-4168-9939-C63D22857824}">
  <ds:schemaRefs/>
</ds:datastoreItem>
</file>

<file path=docProps/app.xml><?xml version="1.0" encoding="utf-8"?>
<Properties xmlns="http://schemas.openxmlformats.org/officeDocument/2006/extended-properties" xmlns:vt="http://schemas.openxmlformats.org/officeDocument/2006/docPropsVTypes">
  <Template>Normal</Template>
  <Pages>135</Pages>
  <Words>11997</Words>
  <Characters>68387</Characters>
  <Lines>569</Lines>
  <Paragraphs>160</Paragraphs>
  <TotalTime>6</TotalTime>
  <ScaleCrop>false</ScaleCrop>
  <LinksUpToDate>false</LinksUpToDate>
  <CharactersWithSpaces>80224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2020-07-09T14:52:00Z</dcterms:created>
  <dc:creator>User</dc:creator>
  <cp:lastModifiedBy>张智林</cp:lastModifiedBy>
  <cp:lastPrinted>2020-12-18T01:02:04Z</cp:lastPrinted>
  <dcterms:modified xsi:type="dcterms:W3CDTF">2020-12-18T01:03:06Z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2010</vt:lpwstr>
  </property>
  <property fmtid="{D5CDD505-2E9C-101B-9397-08002B2CF9AE}" pid="4" name="LastSaved">
    <vt:filetime>2020-07-09T00:00:00Z</vt:filetime>
  </property>
  <property fmtid="{D5CDD505-2E9C-101B-9397-08002B2CF9AE}" pid="5" name="KSOProductBuildVer">
    <vt:lpwstr>2052-11.3.0.9228</vt:lpwstr>
  </property>
</Properties>
</file>